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.png" ContentType="image/png"/>
  <Override PartName="/word/media/rId14.png" ContentType="image/png"/>
  <Override PartName="/word/media/rId18.png" ContentType="image/png"/>
  <Override PartName="/word/media/rId22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4.png" ContentType="image/png"/>
  <Override PartName="/word/media/rId48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Arithmetic Without Numbers (Draft)</w:t>
      </w:r>
    </w:p>
    <w:p>
      <w:pPr>
        <w:pStyle w:val="Subtitle"/>
      </w:pPr>
      <w:r>
        <w:t xml:space="preserve">What happens inside an LLM when it tries to calculate with nothing but matrices</w:t>
      </w:r>
    </w:p>
    <w:p>
      <w:pPr>
        <w:pStyle w:val="Author"/>
      </w:pPr>
      <w:r>
        <w:t xml:space="preserve">Alvaro Videla</w:t>
      </w:r>
    </w:p>
    <w:p>
      <w:pPr>
        <w:pStyle w:val="BlockText"/>
      </w:pPr>
      <w:r>
        <w:t xml:space="preserve">This PDF is the static article. The animated companion, with the helix slider</w:t>
      </w:r>
      <w:r>
        <w:t xml:space="preserve"> </w:t>
      </w:r>
      <w:r>
        <w:t xml:space="preserve">and browser-side simulations, is available at</w:t>
      </w:r>
      <w:r>
        <w:t xml:space="preserve"> </w:t>
      </w:r>
      <w:hyperlink r:id="rId9">
        <w:r>
          <w:rPr>
            <w:rStyle w:val="Hyperlink"/>
          </w:rPr>
          <w:t xml:space="preserve">https://alvaro-videla.com/llm-arithmetic-internals/article_interactive/</w:t>
        </w:r>
      </w:hyperlink>
      <w:r>
        <w:t xml:space="preserve">.</w:t>
      </w:r>
    </w:p>
    <w:p>
      <w:pPr>
        <w:pStyle w:val="CaptionedFigure"/>
      </w:pPr>
      <w:r>
        <w:drawing>
          <wp:inline>
            <wp:extent cx="5334000" cy="3555999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blender_integer_helix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5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visual analogy for integer phase geometry in a matrix-only model:</w:t>
      </w:r>
      <w:r>
        <w:t xml:space="preserve"> </w:t>
      </w:r>
      <w:r>
        <w:t xml:space="preserve">value can be represented by position on rotating directions rather than by</w:t>
      </w:r>
      <w:r>
        <w:t xml:space="preserve"> </w:t>
      </w:r>
      <w:r>
        <w:t xml:space="preserve">fingers, beads, or written columns.</w:t>
      </w:r>
    </w:p>
    <w:bookmarkStart w:id="13" w:name="the-question"/>
    <w:p>
      <w:pPr>
        <w:pStyle w:val="Heading1"/>
      </w:pPr>
      <w:r>
        <w:t xml:space="preserve">The Question</w:t>
      </w:r>
    </w:p>
    <w:p>
      <w:pPr>
        <w:pStyle w:val="FirstParagraph"/>
      </w:pPr>
      <w:r>
        <w:t xml:space="preserve">If you learned arithmetic the ordinary human way, you probably learned it with</w:t>
      </w:r>
      <w:r>
        <w:t xml:space="preserve"> </w:t>
      </w:r>
      <w:r>
        <w:t xml:space="preserve">a body. You counted on fingers, grouped things into piles, lined digits into</w:t>
      </w:r>
      <w:r>
        <w:t xml:space="preserve"> </w:t>
      </w:r>
      <w:r>
        <w:t xml:space="preserve">columns, and carried a one. Human arithmetic is full of objects: fingers,</w:t>
      </w:r>
      <w:r>
        <w:t xml:space="preserve"> </w:t>
      </w:r>
      <w:r>
        <w:t xml:space="preserve">beads, marks, columns, strokes, and places.</w:t>
      </w:r>
    </w:p>
    <w:p>
      <w:pPr>
        <w:pStyle w:val="BodyText"/>
      </w:pPr>
      <w:r>
        <w:t xml:space="preserve">A language model has none of that. It has matrices.</w:t>
      </w:r>
    </w:p>
    <w:p>
      <w:pPr>
        <w:pStyle w:val="BodyText"/>
      </w:pPr>
      <w:r>
        <w:t xml:space="preserve">At each layer, a grid of numbers transforms another grid of numbers. Tokens</w:t>
      </w:r>
      <w:r>
        <w:t xml:space="preserve"> </w:t>
      </w:r>
      <w:r>
        <w:t xml:space="preserve">enter, activations flow, logits come out. No fingers. No abacus. No column of</w:t>
      </w:r>
      <w:r>
        <w:t xml:space="preserve"> </w:t>
      </w:r>
      <w:r>
        <w:t xml:space="preserve">digits written on a page. And yet, if you ask a modern language model for the</w:t>
      </w:r>
      <w:r>
        <w:t xml:space="preserve"> </w:t>
      </w:r>
      <w:r>
        <w:t xml:space="preserve">greatest common divisor of two numbers, or a multiplication, or a division with</w:t>
      </w:r>
      <w:r>
        <w:t xml:space="preserve"> </w:t>
      </w:r>
      <w:r>
        <w:t xml:space="preserve">remainder, something inside that matrix-only body responds.</w:t>
      </w:r>
    </w:p>
    <w:p>
      <w:pPr>
        <w:pStyle w:val="BodyText"/>
      </w:pPr>
      <w:r>
        <w:t xml:space="preserve">Sometimes it answers correctly. Often it does not. The question that started</w:t>
      </w:r>
      <w:r>
        <w:t xml:space="preserve"> </w:t>
      </w:r>
      <w:r>
        <w:t xml:space="preserve">Rune was simple to ask and hard to answer: how does a language model do</w:t>
      </w:r>
      <w:r>
        <w:t xml:space="preserve"> </w:t>
      </w:r>
      <w:r>
        <w:t xml:space="preserve">arithmetic, if all it has are vectors?</w:t>
      </w:r>
    </w:p>
    <w:p>
      <w:pPr>
        <w:pStyle w:val="BodyText"/>
      </w:pPr>
      <w:r>
        <w:t xml:space="preserve">The first temptation is to treat this as a product problem. If the model is bad</w:t>
      </w:r>
      <w:r>
        <w:t xml:space="preserve"> </w:t>
      </w:r>
      <w:r>
        <w:t xml:space="preserve">at arithmetic, call a calculator. A parser can read</w:t>
      </w:r>
      <w:r>
        <w:t xml:space="preserve"> </w:t>
      </w:r>
      <w:r>
        <w:t xml:space="preserve">“what is 84 times 37,”</w:t>
      </w:r>
      <w:r>
        <w:t xml:space="preserve"> </w:t>
      </w:r>
      <w:r>
        <w:t xml:space="preserve">translate it into</w:t>
      </w:r>
      <w:r>
        <w:t xml:space="preserve"> </w:t>
      </w:r>
      <w:r>
        <w:rPr>
          <w:rStyle w:val="VerbatimChar"/>
        </w:rPr>
        <w:t xml:space="preserve">84 * 37</w:t>
      </w:r>
      <w:r>
        <w:t xml:space="preserve">, send that expression to Python, and return</w:t>
      </w:r>
      <w:r>
        <w:t xml:space="preserve"> </w:t>
      </w:r>
      <w:r>
        <w:t xml:space="preserve">the result. Useful, but not much of a mystery. That general family of</w:t>
      </w:r>
      <w:r>
        <w:t xml:space="preserve"> </w:t>
      </w:r>
      <w:r>
        <w:t xml:space="preserve">external-computation routes is well established: PAL and Program of Thoughts ask</w:t>
      </w:r>
      <w:r>
        <w:t xml:space="preserve"> </w:t>
      </w:r>
      <w:r>
        <w:t xml:space="preserve">models to produce executable programs, ReAct interleaves reasoning with actions,</w:t>
      </w:r>
      <w:r>
        <w:t xml:space="preserve"> </w:t>
      </w:r>
      <w:r>
        <w:t xml:space="preserve">and Toolformer studies models learning when and how to call</w:t>
      </w:r>
      <w:r>
        <w:t xml:space="preserve"> </w:t>
      </w:r>
      <w:r>
        <w:t xml:space="preserve">APIs </w:t>
      </w:r>
      <w:r>
        <w:t xml:space="preserve">(Gao et al. 2022; Chen et al. 2023; Yao et al. 2023; Schick et al. 2023)</w:t>
      </w:r>
      <w:r>
        <w:t xml:space="preserve">.</w:t>
      </w:r>
    </w:p>
    <w:p>
      <w:pPr>
        <w:pStyle w:val="BodyText"/>
      </w:pPr>
      <w:r>
        <w:t xml:space="preserve">Rune was chasing a different question. Could we look inside the model and find</w:t>
      </w:r>
      <w:r>
        <w:t xml:space="preserve"> </w:t>
      </w:r>
      <w:r>
        <w:t xml:space="preserve">the calculation it was trying to perform? Could the model’s own internal states</w:t>
      </w:r>
      <w:r>
        <w:t xml:space="preserve"> </w:t>
      </w:r>
      <w:r>
        <w:t xml:space="preserve">tell us the operation and operands? And, if so, could we use that information</w:t>
      </w:r>
      <w:r>
        <w:t xml:space="preserve"> </w:t>
      </w:r>
      <w:r>
        <w:t xml:space="preserve">without cheating by reading the prompt text directly?</w:t>
      </w:r>
    </w:p>
    <w:p>
      <w:pPr>
        <w:pStyle w:val="BodyText"/>
      </w:pPr>
      <w:r>
        <w:t xml:space="preserve">The promise of the article is this: a matrix-only body can invent ways to</w:t>
      </w:r>
      <w:r>
        <w:t xml:space="preserve"> </w:t>
      </w:r>
      <w:r>
        <w:t xml:space="preserve">represent divisibility, magnitude, digit chunks, and numeric emission. The model</w:t>
      </w:r>
      <w:r>
        <w:t xml:space="preserve"> </w:t>
      </w:r>
      <w:r>
        <w:t xml:space="preserve">did not conjure arithmetic from nothing; it distilled patterns from human text</w:t>
      </w:r>
      <w:r>
        <w:t xml:space="preserve"> </w:t>
      </w:r>
      <w:r>
        <w:t xml:space="preserve">about human mathematics. The surprise is that gradient descent, given our</w:t>
      </w:r>
      <w:r>
        <w:t xml:space="preserve"> </w:t>
      </w:r>
      <w:r>
        <w:t xml:space="preserve">symbols and a matrix body, settled on representations no human would learn with</w:t>
      </w:r>
      <w:r>
        <w:t xml:space="preserve"> </w:t>
      </w:r>
      <w:r>
        <w:t xml:space="preserve">fingers.</w:t>
      </w:r>
    </w:p>
    <w:bookmarkEnd w:id="13"/>
    <w:bookmarkStart w:id="17" w:name="a-different-kind-of-tool-use"/>
    <w:p>
      <w:pPr>
        <w:pStyle w:val="Heading1"/>
      </w:pPr>
      <w:r>
        <w:t xml:space="preserve">A Different Kind of Tool Use</w:t>
      </w:r>
    </w:p>
    <w:p>
      <w:pPr>
        <w:pStyle w:val="FirstParagraph"/>
      </w:pPr>
      <w:r>
        <w:t xml:space="preserve">The original dream was more ambitious: a mechanism-aware just-in-time compiler</w:t>
      </w:r>
      <w:r>
        <w:t xml:space="preserve"> </w:t>
      </w:r>
      <w:r>
        <w:t xml:space="preserve">for model arithmetic. The ideal pipeline looked like this. The model reads an</w:t>
      </w:r>
      <w:r>
        <w:t xml:space="preserve"> </w:t>
      </w:r>
      <w:r>
        <w:t xml:space="preserve">arithmetic prompt; we identify the internal mechanism it is using; we replace</w:t>
      </w:r>
      <w:r>
        <w:t xml:space="preserve"> </w:t>
      </w:r>
      <w:r>
        <w:t xml:space="preserve">the unreliable part with exact computation; then the model continues naturally,</w:t>
      </w:r>
      <w:r>
        <w:t xml:space="preserve"> </w:t>
      </w:r>
      <w:r>
        <w:t xml:space="preserve">as if it had done the math itself.</w:t>
      </w:r>
    </w:p>
    <w:p>
      <w:pPr>
        <w:pStyle w:val="BodyText"/>
      </w:pPr>
      <w:r>
        <w:t xml:space="preserve">It is a seductive pipeline, and it is not what Rune proves.</w:t>
      </w:r>
    </w:p>
    <w:p>
      <w:pPr>
        <w:pStyle w:val="BodyText"/>
      </w:pPr>
      <w:r>
        <w:t xml:space="preserve">What survived the experiments was narrower, but more interesting than ordinary</w:t>
      </w:r>
      <w:r>
        <w:t xml:space="preserve"> </w:t>
      </w:r>
      <w:r>
        <w:t xml:space="preserve">tool use. In a frozen Llama model, internal activations expose enough structure</w:t>
      </w:r>
      <w:r>
        <w:t xml:space="preserve"> </w:t>
      </w:r>
      <w:r>
        <w:t xml:space="preserve">to recover the arithmetic operation and operands under a strict no-parser rule.</w:t>
      </w:r>
      <w:r>
        <w:t xml:space="preserve"> </w:t>
      </w:r>
      <w:r>
        <w:t xml:space="preserve">The runtime is not allowed to use regexes, prompt text, hidden labels,</w:t>
      </w:r>
      <w:r>
        <w:t xml:space="preserve"> </w:t>
      </w:r>
      <w:r>
        <w:t xml:space="preserve">command-line operands, or gold answers. It gets token IDs and activations. From</w:t>
      </w:r>
      <w:r>
        <w:t xml:space="preserve"> </w:t>
      </w:r>
      <w:r>
        <w:t xml:space="preserve">those activations, it must infer: this is gcd, or lcm, or multiplication, or</w:t>
      </w:r>
      <w:r>
        <w:t xml:space="preserve"> </w:t>
      </w:r>
      <w:r>
        <w:t xml:space="preserve">division with remainder; these are the two numbers. Only after that decoded</w:t>
      </w:r>
      <w:r>
        <w:t xml:space="preserve"> </w:t>
      </w:r>
      <w:r>
        <w:t xml:space="preserve">tuple exists may Python compute.</w:t>
      </w:r>
    </w:p>
    <w:p>
      <w:pPr>
        <w:pStyle w:val="BodyText"/>
      </w:pPr>
      <w:r>
        <w:t xml:space="preserve">The calculator is not the surprising part. The surprising part is that its</w:t>
      </w:r>
      <w:r>
        <w:t xml:space="preserve"> </w:t>
      </w:r>
      <w:r>
        <w:t xml:space="preserve">arguments can come from inside the model.</w:t>
      </w:r>
    </w:p>
    <w:p>
      <w:pPr>
        <w:pStyle w:val="BodyText"/>
      </w:pPr>
      <w:r>
        <w:t xml:space="preserve">A normal tool route can solve the problem without learning anything about model</w:t>
      </w:r>
      <w:r>
        <w:t xml:space="preserve"> </w:t>
      </w:r>
      <w:r>
        <w:t xml:space="preserve">internals. Rune asks whether the model’s residual stream already carries the</w:t>
      </w:r>
      <w:r>
        <w:t xml:space="preserve"> </w:t>
      </w:r>
      <w:r>
        <w:t xml:space="preserve">calculation description, even when the model’s own next-token answer would be</w:t>
      </w:r>
      <w:r>
        <w:t xml:space="preserve"> </w:t>
      </w:r>
      <w:r>
        <w:t xml:space="preserve">wrong.</w:t>
      </w:r>
    </w:p>
    <w:p>
      <w:pPr>
        <w:pStyle w:val="BodyText"/>
      </w:pPr>
      <w:r>
        <w:t xml:space="preserve">The no-parser rule is therefore epistemic, not merely procedural. It exists so</w:t>
      </w:r>
      <w:r>
        <w:t xml:space="preserve"> </w:t>
      </w:r>
      <w:r>
        <w:t xml:space="preserve">that later, when the article says the hidden state contained the calculation,</w:t>
      </w:r>
      <w:r>
        <w:t xml:space="preserve"> </w:t>
      </w:r>
      <w:r>
        <w:t xml:space="preserve">the reader does not have to wonder whether a regex, a hidden operand field, or a</w:t>
      </w:r>
      <w:r>
        <w:t xml:space="preserve"> </w:t>
      </w:r>
      <w:r>
        <w:t xml:space="preserve">gold answer smuggled the result into the route. The supported claim is narrow:</w:t>
      </w:r>
      <w:r>
        <w:t xml:space="preserve"> </w:t>
      </w:r>
      <w:r>
        <w:t xml:space="preserve">activation-derived op and operand readouts can supply calculator arguments for</w:t>
      </w:r>
      <w:r>
        <w:t xml:space="preserve"> </w:t>
      </w:r>
      <w:r>
        <w:t xml:space="preserve">an opaque no-parser route on the current frozen Llama benchmark slices, without</w:t>
      </w:r>
      <w:r>
        <w:t xml:space="preserve"> </w:t>
      </w:r>
      <w:r>
        <w:t xml:space="preserve">also proving native arithmetic repair, residual-state JIT replacement, or</w:t>
      </w:r>
      <w:r>
        <w:t xml:space="preserve"> </w:t>
      </w:r>
      <w:r>
        <w:t xml:space="preserve">cross-model transfer.</w:t>
      </w:r>
    </w:p>
    <w:p>
      <w:pPr>
        <w:pStyle w:val="BodyText"/>
      </w:pPr>
      <w:r>
        <w:t xml:space="preserve">The production operand route used a frozen layer-22 chunk path: selected</w:t>
      </w:r>
      <w:r>
        <w:t xml:space="preserve"> </w:t>
      </w:r>
      <w:r>
        <w:t xml:space="preserve">operand chunks, with attention-based selection, were decoded by the project</w:t>
      </w:r>
      <w:r>
        <w:t xml:space="preserve"> </w:t>
      </w:r>
      <w:r>
        <w:t xml:space="preserve">chunk probe. That matters because reading operands directly from their</w:t>
      </w:r>
      <w:r>
        <w:t xml:space="preserve"> </w:t>
      </w:r>
      <w:r>
        <w:t xml:space="preserve">input-token positions in early layers would be too close to parsing in</w:t>
      </w:r>
      <w:r>
        <w:t xml:space="preserve"> </w:t>
      </w:r>
      <w:r>
        <w:t xml:space="preserve">disguise. Layer-22 chunk selection is a stronger internal-state claim, though</w:t>
      </w:r>
      <w:r>
        <w:t xml:space="preserve"> </w:t>
      </w:r>
      <w:r>
        <w:t xml:space="preserve">still a readout claim rather than proof of writable replacement. The exact</w:t>
      </w:r>
      <w:r>
        <w:t xml:space="preserve"> </w:t>
      </w:r>
      <w:r>
        <w:t xml:space="preserve">probe artifact is listed in the repository’s experiment notes.</w:t>
      </w:r>
    </w:p>
    <w:p>
      <w:pPr>
        <w:pStyle w:val="CaptionedFigure"/>
      </w:pPr>
      <w:r>
        <w:drawing>
          <wp:inline>
            <wp:extent cx="3607495" cy="1787046"/>
            <wp:effectExtent b="0" l="0" r="0" t="0"/>
            <wp:docPr descr="" title="" id="15" name="Picture"/>
            <a:graphic>
              <a:graphicData uri="http://schemas.openxmlformats.org/drawingml/2006/picture">
                <pic:pic>
                  <pic:nvPicPr>
                    <pic:cNvPr descr="docx_figures/tikz_figure_01.png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95" cy="17870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Claim ladder for the same visible answer. Rune’s supported claim is</w:t>
      </w:r>
      <w:r>
        <w:t xml:space="preserve"> </w:t>
      </w:r>
      <w:r>
        <w:t xml:space="preserve">the highlighted activation-readout route: the calculator arguments come from</w:t>
      </w:r>
      <w:r>
        <w:t xml:space="preserve"> </w:t>
      </w:r>
      <w:r>
        <w:t xml:space="preserve">hidden vectors, not from prompt parsing or an already-known answer.</w:t>
      </w:r>
    </w:p>
    <w:bookmarkEnd w:id="17"/>
    <w:bookmarkStart w:id="26" w:name="the-matrix-body"/>
    <w:p>
      <w:pPr>
        <w:pStyle w:val="Heading1"/>
      </w:pPr>
      <w:r>
        <w:t xml:space="preserve">The Matrix Body</w:t>
      </w:r>
    </w:p>
    <w:p>
      <w:pPr>
        <w:pStyle w:val="FirstParagraph"/>
      </w:pPr>
      <w:r>
        <w:t xml:space="preserve">George Lakoff and Rafael N</w:t>
      </w:r>
      <w:r>
        <w:t xml:space="preserve">ú</w:t>
      </w:r>
      <w:r>
        <w:t xml:space="preserve">ñ</w:t>
      </w:r>
      <w:r>
        <w:t xml:space="preserve">ez argued that human mathematics is built</w:t>
      </w:r>
      <w:r>
        <w:t xml:space="preserve"> </w:t>
      </w:r>
      <w:r>
        <w:t xml:space="preserve">from embodied experience: grouping, moving, measuring, collecting, and</w:t>
      </w:r>
      <w:r>
        <w:t xml:space="preserve"> </w:t>
      </w:r>
      <w:r>
        <w:t xml:space="preserve">balancing </w:t>
      </w:r>
      <w:r>
        <w:t xml:space="preserve">(Lakoff and Núñez 2000)</w:t>
      </w:r>
      <w:r>
        <w:t xml:space="preserve">. A transformer has a different body. Its body is</w:t>
      </w:r>
      <w:r>
        <w:t xml:space="preserve"> </w:t>
      </w:r>
      <w:r>
        <w:t xml:space="preserve">matrices, residual streams, attention maps, and learned projections. If human</w:t>
      </w:r>
      <w:r>
        <w:t xml:space="preserve"> </w:t>
      </w:r>
      <w:r>
        <w:t xml:space="preserve">arithmetic can grow out of fingers and spatial metaphors, what kind of</w:t>
      </w:r>
      <w:r>
        <w:t xml:space="preserve"> </w:t>
      </w:r>
      <w:r>
        <w:t xml:space="preserve">arithmetic grows out of a matrix-only body?</w:t>
      </w:r>
    </w:p>
    <w:p>
      <w:pPr>
        <w:pStyle w:val="BodyText"/>
      </w:pPr>
      <w:r>
        <w:t xml:space="preserve">Recent mechanistic work suggests a geometric answer. Kantamneni and Tegmark</w:t>
      </w:r>
      <w:r>
        <w:t xml:space="preserve"> </w:t>
      </w:r>
      <w:r>
        <w:t xml:space="preserve">argued that language models can represent integers on generalized helices and</w:t>
      </w:r>
      <w:r>
        <w:t xml:space="preserve"> </w:t>
      </w:r>
      <w:r>
        <w:t xml:space="preserve">use trigonometric structure for addition </w:t>
      </w:r>
      <w:r>
        <w:t xml:space="preserve">(Kantamneni and Tegmark 2025)</w:t>
      </w:r>
      <w:r>
        <w:t xml:space="preserve">. Stolfo,</w:t>
      </w:r>
      <w:r>
        <w:t xml:space="preserve"> </w:t>
      </w:r>
      <w:r>
        <w:t xml:space="preserve">Belinkov, and Sachan used causal mediation analysis to study arithmetic</w:t>
      </w:r>
      <w:r>
        <w:t xml:space="preserve"> </w:t>
      </w:r>
      <w:r>
        <w:t xml:space="preserve">mechanisms in transformers </w:t>
      </w:r>
      <w:r>
        <w:t xml:space="preserve">(Stolfo et al. 2023)</w:t>
      </w:r>
      <w:r>
        <w:t xml:space="preserve">. Other work, including Nikankin</w:t>
      </w:r>
      <w:r>
        <w:t xml:space="preserve"> </w:t>
      </w:r>
      <w:r>
        <w:t xml:space="preserve">and colleagues’</w:t>
      </w:r>
      <w:r>
        <w:t xml:space="preserve"> </w:t>
      </w:r>
      <w:r>
        <w:t xml:space="preserve">“bag of heuristics”</w:t>
      </w:r>
      <w:r>
        <w:t xml:space="preserve"> </w:t>
      </w:r>
      <w:r>
        <w:t xml:space="preserve">account, warns that model arithmetic is</w:t>
      </w:r>
      <w:r>
        <w:t xml:space="preserve"> </w:t>
      </w:r>
      <w:r>
        <w:t xml:space="preserve">often not a clean schoolbook algorithm but a mixture of learned features and</w:t>
      </w:r>
      <w:r>
        <w:t xml:space="preserve"> </w:t>
      </w:r>
      <w:r>
        <w:t xml:space="preserve">prompt-sensitive heuristics </w:t>
      </w:r>
      <w:r>
        <w:t xml:space="preserve">(Nikankin et al. 2024)</w:t>
      </w:r>
      <w:r>
        <w:t xml:space="preserve">.</w:t>
      </w:r>
    </w:p>
    <w:p>
      <w:pPr>
        <w:pStyle w:val="BodyText"/>
      </w:pPr>
      <w:r>
        <w:t xml:space="preserve">Rune builds on that line rather than originating it. The contribution here is a</w:t>
      </w:r>
      <w:r>
        <w:t xml:space="preserve"> </w:t>
      </w:r>
      <w:r>
        <w:t xml:space="preserve">scoped reproduction-and-extension story around activation-derived tool</w:t>
      </w:r>
      <w:r>
        <w:t xml:space="preserve"> </w:t>
      </w:r>
      <w:r>
        <w:t xml:space="preserve">arguments, provenance controls, and resolution limits. We found Fourier-like</w:t>
      </w:r>
      <w:r>
        <w:t xml:space="preserve"> </w:t>
      </w:r>
      <w:r>
        <w:t xml:space="preserve">readouts and value-like states, but also brittleness, prompt sensitivity, and</w:t>
      </w:r>
      <w:r>
        <w:t xml:space="preserve"> </w:t>
      </w:r>
      <w:r>
        <w:t xml:space="preserve">failures that look less like a perfect algorithm than a finite-resolution</w:t>
      </w:r>
      <w:r>
        <w:t xml:space="preserve"> </w:t>
      </w:r>
      <w:r>
        <w:t xml:space="preserve">internal geometry.</w:t>
      </w:r>
    </w:p>
    <w:p>
      <w:pPr>
        <w:pStyle w:val="CaptionedFigure"/>
      </w:pPr>
      <w:r>
        <w:drawing>
          <wp:inline>
            <wp:extent cx="4388284" cy="1582454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docx_figures/tikz_figure_02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84" cy="1582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Static counterpart to the animated helix control. The interactive</w:t>
      </w:r>
      <w:r>
        <w:t xml:space="preserve"> </w:t>
      </w:r>
      <w:r>
        <w:t xml:space="preserve">page lets the reader drag the integer value; in print, three snapshots show</w:t>
      </w:r>
      <w:r>
        <w:t xml:space="preserve"> </w:t>
      </w:r>
      <w:r>
        <w:t xml:space="preserve">the same idea. A value can be represented by phase around a cycle, by</w:t>
      </w:r>
      <w:r>
        <w:t xml:space="preserve"> </w:t>
      </w:r>
      <w:r>
        <w:t xml:space="preserve">sine/cosine coordinates of that phase, and by a coarser scale coordinate.</w:t>
      </w:r>
    </w:p>
    <w:p>
      <w:pPr>
        <w:pStyle w:val="BodyText"/>
      </w:pPr>
      <w:r>
        <w:t xml:space="preserve">The body mapping is the useful way to read the rest of the story. Fingers,</w:t>
      </w:r>
      <w:r>
        <w:t xml:space="preserve"> </w:t>
      </w:r>
      <w:r>
        <w:t xml:space="preserve">beads, and tally marks become directions in activation space. The number line</w:t>
      </w:r>
      <w:r>
        <w:t xml:space="preserve"> </w:t>
      </w:r>
      <w:r>
        <w:t xml:space="preserve">and human motion-along-a-path metaphors become phase rotation on a helix, close</w:t>
      </w:r>
      <w:r>
        <w:t xml:space="preserve"> </w:t>
      </w:r>
      <w:r>
        <w:t xml:space="preserve">to Kantamneni and Tegmark’s clock-like picture. Scratch paper becomes the</w:t>
      </w:r>
      <w:r>
        <w:t xml:space="preserve"> </w:t>
      </w:r>
      <w:r>
        <w:t xml:space="preserve">residual stream, a shared scratchpad with no named variables. Right-to-left</w:t>
      </w:r>
      <w:r>
        <w:t xml:space="preserve"> </w:t>
      </w:r>
      <w:r>
        <w:t xml:space="preserve">carry algorithms are constrained by a body that must emit text left to right.</w:t>
      </w:r>
      <w:r>
        <w:t xml:space="preserve"> </w:t>
      </w:r>
      <w:r>
        <w:t xml:space="preserve">Running out of paper or column width becomes a resolution budget: nearby chunk</w:t>
      </w:r>
      <w:r>
        <w:t xml:space="preserve"> </w:t>
      </w:r>
      <w:r>
        <w:t xml:space="preserve">readout directions crowd together.</w:t>
      </w:r>
    </w:p>
    <w:bookmarkStart w:id="21" w:name="tab:bodymap"/>
    <w:p>
      <w:pPr>
        <w:pStyle w:val="TableCaption"/>
      </w:pPr>
      <w:r>
        <w:t xml:space="preserve">The same arithmetic task, two different bodies. The analogy is not</w:t>
      </w:r>
      <w:r>
        <w:t xml:space="preserve"> </w:t>
      </w:r>
      <w:r>
        <w:t xml:space="preserve">literal anatomy; it is a guide to which representations and failures each body</w:t>
      </w:r>
      <w:r>
        <w:t xml:space="preserve"> </w:t>
      </w:r>
      <w:r>
        <w:t xml:space="preserve">makes natural.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The same arithmetic task, two different bodies. The analogy is not literal anatomy; it is a guide to which representations and failures each body makes natural.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Human arithmetic body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Matrix arithmetic body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Fingers, beads, tally marks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Directions in activation space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Number line and motion along a path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Phase rotation on a helix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Scratch paper and written columns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Residual stream with no named variables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Right-to-left carries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Left-to-right token emission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Running out of column width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Crowded chunk readout subspaces</w:t>
            </w:r>
          </w:p>
        </w:tc>
      </w:tr>
    </w:tbl>
    <w:bookmarkEnd w:id="21"/>
    <w:bookmarkStart w:id="25" w:name="a-vector-changes-as-the-model-reads"/>
    <w:p>
      <w:pPr>
        <w:pStyle w:val="Heading2"/>
      </w:pPr>
      <w:r>
        <w:t xml:space="preserve">A Vector Changes as the Model Reads</w:t>
      </w:r>
    </w:p>
    <w:p>
      <w:pPr>
        <w:pStyle w:val="FirstParagraph"/>
      </w:pPr>
      <w:r>
        <w:t xml:space="preserve">Imagine reading</w:t>
      </w:r>
      <w:r>
        <w:t xml:space="preserve"> </w:t>
      </w:r>
      <w:r>
        <w:rPr>
          <w:rStyle w:val="VerbatimChar"/>
        </w:rPr>
        <w:t xml:space="preserve">What is the gcd of 84 and 36?</w:t>
      </w:r>
      <w:r>
        <w:t xml:space="preserve"> </w:t>
      </w:r>
      <w:r>
        <w:t xml:space="preserve">one token at a time. The</w:t>
      </w:r>
      <w:r>
        <w:t xml:space="preserve"> </w:t>
      </w:r>
      <w:r>
        <w:t xml:space="preserve">model does not create neat variables named</w:t>
      </w:r>
      <w:r>
        <w:t xml:space="preserve"> </w:t>
      </w:r>
      <w:r>
        <w:rPr>
          <w:rStyle w:val="VerbatimChar"/>
        </w:rPr>
        <w:t xml:space="preserve">operand_a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operand_b</w:t>
      </w:r>
      <w:r>
        <w:t xml:space="preserve">. Each token position carries a long vector. As the prompt</w:t>
      </w:r>
      <w:r>
        <w:t xml:space="preserve"> </w:t>
      </w:r>
      <w:r>
        <w:t xml:space="preserve">passes through transformer layers, those vectors are updated repeatedly. Some</w:t>
      </w:r>
      <w:r>
        <w:t xml:space="preserve"> </w:t>
      </w:r>
      <w:r>
        <w:t xml:space="preserve">updates move information across positions: the token for</w:t>
      </w:r>
      <w:r>
        <w:t xml:space="preserve"> </w:t>
      </w:r>
      <w:r>
        <w:rPr>
          <w:rStyle w:val="VerbatimChar"/>
        </w:rPr>
        <w:t xml:space="preserve">36</w:t>
      </w:r>
      <w:r>
        <w:t xml:space="preserve"> </w:t>
      </w:r>
      <w:r>
        <w:t xml:space="preserve">can affect</w:t>
      </w:r>
      <w:r>
        <w:t xml:space="preserve"> </w:t>
      </w:r>
      <w:r>
        <w:t xml:space="preserve">the state near the answer position. Other updates reshape the local state: a</w:t>
      </w:r>
      <w:r>
        <w:t xml:space="preserve"> </w:t>
      </w:r>
      <w:r>
        <w:t xml:space="preserve">direction in the vector may become more gcd-like, more operand-like, or more</w:t>
      </w:r>
      <w:r>
        <w:t xml:space="preserve"> </w:t>
      </w:r>
      <w:r>
        <w:t xml:space="preserve">answer-like.</w:t>
      </w:r>
    </w:p>
    <w:p>
      <w:pPr>
        <w:pStyle w:val="BodyText"/>
      </w:pPr>
      <w:r>
        <w:t xml:space="preserve">The terms are less exotic in context. A token is one unit the model reads or</w:t>
      </w:r>
      <w:r>
        <w:t xml:space="preserve"> </w:t>
      </w:r>
      <w:r>
        <w:t xml:space="preserve">prints; for numbers it may be a chunk of digits rather than a full integer. The</w:t>
      </w:r>
      <w:r>
        <w:t xml:space="preserve"> </w:t>
      </w:r>
      <w:r>
        <w:t xml:space="preserve">activation is the temporary vector at a token position. The residual stream is</w:t>
      </w:r>
      <w:r>
        <w:t xml:space="preserve"> </w:t>
      </w:r>
      <w:r>
        <w:t xml:space="preserve">the running vector passed from layer to layer, a shared scratchpad without named</w:t>
      </w:r>
      <w:r>
        <w:t xml:space="preserve"> </w:t>
      </w:r>
      <w:r>
        <w:t xml:space="preserve">variables. Attention lets one position gather information from others; the MLP,</w:t>
      </w:r>
      <w:r>
        <w:t xml:space="preserve"> </w:t>
      </w:r>
      <w:r>
        <w:t xml:space="preserve">or feed-forward block, then reshapes that position’s vector locally. At the end,</w:t>
      </w:r>
      <w:r>
        <w:t xml:space="preserve"> </w:t>
      </w:r>
      <w:r>
        <w:t xml:space="preserve">logits score possible next tokens.</w:t>
      </w:r>
    </w:p>
    <w:p>
      <w:pPr>
        <w:pStyle w:val="BodyText"/>
      </w:pPr>
      <w:r>
        <w:t xml:space="preserve">This is why readouts and patches are possible at all. Operation and operands can</w:t>
      </w:r>
      <w:r>
        <w:t xml:space="preserve"> </w:t>
      </w:r>
      <w:r>
        <w:t xml:space="preserve">leave traces in the residual stream, and a small readout may recover them. A</w:t>
      </w:r>
      <w:r>
        <w:t xml:space="preserve"> </w:t>
      </w:r>
      <w:r>
        <w:t xml:space="preserve">patch asks a stronger question: whether moving a state changes behavior. A</w:t>
      </w:r>
      <w:r>
        <w:t xml:space="preserve"> </w:t>
      </w:r>
      <w:r>
        <w:t xml:space="preserve">writable intervention is stronger still. The vector itself does not label which</w:t>
      </w:r>
      <w:r>
        <w:t xml:space="preserve"> </w:t>
      </w:r>
      <w:r>
        <w:t xml:space="preserve">claim is true.</w:t>
      </w:r>
    </w:p>
    <w:p>
      <w:pPr>
        <w:pStyle w:val="CaptionedFigure"/>
      </w:pPr>
      <w:r>
        <w:drawing>
          <wp:inline>
            <wp:extent cx="2951967" cy="1732767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docx_figures/tikz_figure_0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67" cy="1732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residual stream is a running vector, not a named variable table.</w:t>
      </w:r>
      <w:r>
        <w:t xml:space="preserve"> </w:t>
      </w:r>
      <w:r>
        <w:t xml:space="preserve">Attention can move operand information across positions; the MLP reshapes the</w:t>
      </w:r>
      <w:r>
        <w:t xml:space="preserve"> </w:t>
      </w:r>
      <w:r>
        <w:t xml:space="preserve">local vector; a readout asks whether facts such as</w:t>
      </w:r>
      <w:r>
        <w:t xml:space="preserve"> </w:t>
      </w:r>
      <w:r>
        <w:rPr>
          <w:rStyle w:val="VerbatimChar"/>
        </w:rPr>
        <w:t xml:space="preserve">gcd, 84, 36</w:t>
      </w:r>
      <w:r>
        <w:t xml:space="preserve"> </w:t>
      </w:r>
      <w:r>
        <w:t xml:space="preserve">are</w:t>
      </w:r>
      <w:r>
        <w:t xml:space="preserve"> </w:t>
      </w:r>
      <w:r>
        <w:t xml:space="preserve">recoverable from that state.</w:t>
      </w:r>
    </w:p>
    <w:bookmarkEnd w:id="25"/>
    <w:bookmarkEnd w:id="26"/>
    <w:bookmarkStart w:id="42" w:name="next-token-pressure"/>
    <w:p>
      <w:pPr>
        <w:pStyle w:val="Heading1"/>
      </w:pPr>
      <w:r>
        <w:t xml:space="preserve">Next-Token Pressure</w:t>
      </w:r>
    </w:p>
    <w:p>
      <w:pPr>
        <w:pStyle w:val="FirstParagraph"/>
      </w:pPr>
      <w:r>
        <w:t xml:space="preserve">Next-token prediction changes the arithmetic problem because it changes the</w:t>
      </w:r>
      <w:r>
        <w:t xml:space="preserve"> </w:t>
      </w:r>
      <w:r>
        <w:t xml:space="preserve">body. A human doing subtraction on paper usually works from the least</w:t>
      </w:r>
      <w:r>
        <w:t xml:space="preserve"> </w:t>
      </w:r>
      <w:r>
        <w:t xml:space="preserve">significant digit toward the left: units first, then tens, then hundreds,</w:t>
      </w:r>
      <w:r>
        <w:t xml:space="preserve"> </w:t>
      </w:r>
      <w:r>
        <w:t xml:space="preserve">carrying or borrowing as needed. Paper permits that. A language model must emit</w:t>
      </w:r>
      <w:r>
        <w:t xml:space="preserve"> </w:t>
      </w:r>
      <w:r>
        <w:t xml:space="preserve">text from left to right. For the answer</w:t>
      </w:r>
      <w:r>
        <w:t xml:space="preserve"> </w:t>
      </w:r>
      <w:r>
        <w:rPr>
          <w:rStyle w:val="VerbatimChar"/>
        </w:rPr>
        <w:t xml:space="preserve">15696</w:t>
      </w:r>
      <w:r>
        <w:t xml:space="preserve">, it must commit to the</w:t>
      </w:r>
      <w:r>
        <w:t xml:space="preserve"> </w:t>
      </w:r>
      <w:r>
        <w:t xml:space="preserve">visible prefix before the suffix exists. In tokenized form, the answer may come</w:t>
      </w:r>
      <w:r>
        <w:t xml:space="preserve"> </w:t>
      </w:r>
      <w:r>
        <w:t xml:space="preserve">out as chunks like</w:t>
      </w:r>
      <w:r>
        <w:t xml:space="preserve"> </w:t>
      </w:r>
      <w:r>
        <w:rPr>
          <w:rStyle w:val="VerbatimChar"/>
        </w:rPr>
        <w:t xml:space="preserve">15</w:t>
      </w:r>
      <w:r>
        <w:t xml:space="preserve"> </w:t>
      </w:r>
      <w:r>
        <w:t xml:space="preserve">then</w:t>
      </w:r>
      <w:r>
        <w:t xml:space="preserve"> </w:t>
      </w:r>
      <w:r>
        <w:rPr>
          <w:rStyle w:val="VerbatimChar"/>
        </w:rPr>
        <w:t xml:space="preserve">696</w:t>
      </w:r>
      <w:r>
        <w:t xml:space="preserve">. The model is not filling in a</w:t>
      </w:r>
      <w:r>
        <w:t xml:space="preserve"> </w:t>
      </w:r>
      <w:r>
        <w:t xml:space="preserve">scratch sheet from right to left; it is walking forward through the string.</w:t>
      </w:r>
    </w:p>
    <w:p>
      <w:pPr>
        <w:pStyle w:val="CaptionedFigure"/>
      </w:pPr>
      <w:r>
        <w:drawing>
          <wp:inline>
            <wp:extent cx="2951967" cy="822542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docx_figures/tikz_figure_0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67" cy="822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Humans can compute from the rightmost digit and write the answer</w:t>
      </w:r>
      <w:r>
        <w:t xml:space="preserve"> </w:t>
      </w:r>
      <w:r>
        <w:t xml:space="preserve">later. A next-token model must emit the visible prefix first. That makes</w:t>
      </w:r>
      <w:r>
        <w:t xml:space="preserve"> </w:t>
      </w:r>
      <w:r>
        <w:t xml:space="preserve">numeric rendering a separate pressure from internal arithmetic.</w:t>
      </w:r>
    </w:p>
    <w:p>
      <w:pPr>
        <w:pStyle w:val="BodyText"/>
      </w:pPr>
      <w:r>
        <w:t xml:space="preserve">That left-to-right constraint creates a rendering problem separate from the</w:t>
      </w:r>
      <w:r>
        <w:t xml:space="preserve"> </w:t>
      </w:r>
      <w:r>
        <w:t xml:space="preserve">arithmetic problem. The model may have partial information about the answer but</w:t>
      </w:r>
      <w:r>
        <w:t xml:space="preserve"> </w:t>
      </w:r>
      <w:r>
        <w:t xml:space="preserve">still lose precision as it emits longer strings. In Rune’s subtraction scaling</w:t>
      </w:r>
      <w:r>
        <w:t xml:space="preserve"> </w:t>
      </w:r>
      <w:r>
        <w:t xml:space="preserve">experiment, exact greedy generation stayed at 96.7 percent for 6-digit</w:t>
      </w:r>
      <w:r>
        <w:t xml:space="preserve"> </w:t>
      </w:r>
      <w:r>
        <w:t xml:space="preserve">subtraction, fell to 63.3 percent at 10 digits, reached 53.3 percent at 13</w:t>
      </w:r>
      <w:r>
        <w:t xml:space="preserve"> </w:t>
      </w:r>
      <w:r>
        <w:t xml:space="preserve">digits, and crossed below 50 percent at 14 digits. At 24 digits it was down to</w:t>
      </w:r>
      <w:r>
        <w:t xml:space="preserve"> </w:t>
      </w:r>
      <w:r>
        <w:t xml:space="preserve">6.7 percent.</w:t>
      </w:r>
    </w:p>
    <w:p>
      <w:pPr>
        <w:pStyle w:val="BodyText"/>
      </w:pPr>
      <w:r>
        <w:t xml:space="preserve">A separate counting experiment made the same pressure visible in a simpler</w:t>
      </w:r>
      <w:r>
        <w:t xml:space="preserve"> </w:t>
      </w:r>
      <w:r>
        <w:t xml:space="preserve">setting. The model saw runs of large consecutive numbers and had to print the</w:t>
      </w:r>
      <w:r>
        <w:t xml:space="preserve"> </w:t>
      </w:r>
      <w:r>
        <w:t xml:space="preserve">next one. An easy case simply advances the last chunk. A deep-carry case must</w:t>
      </w:r>
      <w:r>
        <w:t xml:space="preserve"> </w:t>
      </w:r>
      <w:r>
        <w:t xml:space="preserve">change multiple chunks at once. Cases like this collapsed; the best deep-carry</w:t>
      </w:r>
      <w:r>
        <w:t xml:space="preserve"> </w:t>
      </w:r>
      <w:r>
        <w:t xml:space="preserve">cell reached only 18.75 percent accuracy, and the dominant error was</w:t>
      </w:r>
      <w:r>
        <w:t xml:space="preserve"> </w:t>
      </w:r>
      <w:r>
        <w:t xml:space="preserve">stuck-copy. In this body, arithmetic failure need not look like a wrong carried</w:t>
      </w:r>
      <w:r>
        <w:t xml:space="preserve"> </w:t>
      </w:r>
      <w:r>
        <w:t xml:space="preserve">one in a paper column. It can look like a visible token stream copying old</w:t>
      </w:r>
      <w:r>
        <w:t xml:space="preserve"> </w:t>
      </w:r>
      <w:r>
        <w:t xml:space="preserve">chunks because the carry has to cross boundaries before the model can print</w:t>
      </w:r>
      <w:r>
        <w:t xml:space="preserve"> </w:t>
      </w:r>
      <w:r>
        <w:t xml:space="preserve">them.</w:t>
      </w:r>
    </w:p>
    <w:p>
      <w:pPr>
        <w:pStyle w:val="CaptionedFigure"/>
      </w:pPr>
      <w:r>
        <w:drawing>
          <wp:inline>
            <wp:extent cx="1728591" cy="179539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docx_figures/tikz_figure_0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91" cy="1795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counting experiment exposed the same left-to-right pressure in</w:t>
      </w:r>
      <w:r>
        <w:t xml:space="preserve"> </w:t>
      </w:r>
      <w:r>
        <w:t xml:space="preserve">token chunks. The easy case edits one final chunk; the hard case must update</w:t>
      </w:r>
      <w:r>
        <w:t xml:space="preserve"> </w:t>
      </w:r>
      <w:r>
        <w:t xml:space="preserve">several chunks before the model has printed them.</w:t>
      </w:r>
    </w:p>
    <w:bookmarkStart w:id="33" w:name="tab:counting"/>
    <w:p>
      <w:pPr>
        <w:pStyle w:val="TableCaption"/>
      </w:pPr>
      <w:r>
        <w:t xml:space="preserve">Counting continuation example. The model tokenizer splits the</w:t>
      </w:r>
      <w:r>
        <w:t xml:space="preserve"> </w:t>
      </w:r>
      <w:r>
        <w:t xml:space="preserve">visible number into chunks; the hard case requires a carry across two chunk</w:t>
      </w:r>
      <w:r>
        <w:t xml:space="preserve"> </w:t>
      </w:r>
      <w:r>
        <w:t xml:space="preserve">boundaries.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Counting continuation example. The model tokenizer splits the visible number into chunks; the hard case requires a carry across two chunk boundaries.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Case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Chunks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Easy next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314 | 582 | 706 | 123 | 453 -&gt; 314 | 582 | 706 | 123 | 454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Deep carry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314 | 582 | 706 | 999 | 999 -&gt; 314 | 582 | 707 | 000 | 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Stuck-copy error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314 | 582 | 706 | 999 | 999 -&gt; 314 | 582 | 706 | 999 | 999</w:t>
            </w:r>
          </w:p>
        </w:tc>
      </w:tr>
    </w:tbl>
    <w:bookmarkEnd w:id="33"/>
    <w:p>
      <w:pPr>
        <w:pStyle w:val="CaptionedFigure"/>
      </w:pPr>
      <w:r>
        <w:drawing>
          <wp:inline>
            <wp:extent cx="5334000" cy="1691372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empirical_helix_resolution_sub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1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Empirical helix-resolution evidence for multi-chunk subtraction.</w:t>
      </w:r>
      <w:r>
        <w:t xml:space="preserve"> </w:t>
      </w:r>
      <w:r>
        <w:t xml:space="preserve">Longer answers remain partly readable, but adjacent chunk subspaces become</w:t>
      </w:r>
      <w:r>
        <w:t xml:space="preserve"> </w:t>
      </w:r>
      <w:r>
        <w:t xml:space="preserve">more crowded and less forgiving.</w:t>
      </w:r>
    </w:p>
    <w:p>
      <w:pPr>
        <w:pStyle w:val="BodyText"/>
      </w:pPr>
      <w:r>
        <w:t xml:space="preserve">The helix-resolution experiments gave a more mechanistic picture of that</w:t>
      </w:r>
      <w:r>
        <w:t xml:space="preserve"> </w:t>
      </w:r>
      <w:r>
        <w:t xml:space="preserve">boundary. For 12-digit subtraction answers split into four 3-digit chunks, each</w:t>
      </w:r>
      <w:r>
        <w:t xml:space="preserve"> </w:t>
      </w:r>
      <w:r>
        <w:t xml:space="preserve">chunk remained strongly phase-decodable at layer 31: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—roughly, how much</w:t>
      </w:r>
      <w:r>
        <w:t xml:space="preserve"> </w:t>
      </w:r>
      <w:r>
        <w:t xml:space="preserve">of the chunk’s value a simple readout recovered—was about 0.96 for chunk 1</w:t>
      </w:r>
      <w:r>
        <w:t xml:space="preserve"> </w:t>
      </w:r>
      <w:r>
        <w:t xml:space="preserve">and about 0.92 for chunk 4. So the signal did not simply vanish. The subtler</w:t>
      </w:r>
      <w:r>
        <w:t xml:space="preserve"> </w:t>
      </w:r>
      <w:r>
        <w:t xml:space="preserve">finding was crowding. Adjacent chunk readout subspaces were not cleanly</w:t>
      </w:r>
      <w:r>
        <w:t xml:space="preserve"> </w:t>
      </w:r>
      <w:r>
        <w:t xml:space="preserve">orthogonal; the minimum principal angle, a measure of how separable two nearby</w:t>
      </w:r>
      <w:r>
        <w:t xml:space="preserve"> </w:t>
      </w:r>
      <w:r>
        <w:t xml:space="preserve">readout directions are, dropped as low as 66 degrees. Smaller angles mean less</w:t>
      </w:r>
      <w:r>
        <w:t xml:space="preserve"> </w:t>
      </w:r>
      <w:r>
        <w:t xml:space="preserve">separation. In a 14-digit, five-chunk follow-up, chunks 2–4 lost</w:t>
      </w:r>
      <w:r>
        <w:t xml:space="preserve"> </w:t>
      </w:r>
      <m:oMath>
        <m:sSup>
          <m:e>
            <m:r>
              <m:t>R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w:r>
        <w:t xml:space="preserve">adjacent angles tightened further, for example c3–c4 went from 67.4 degrees to</w:t>
      </w:r>
      <w:r>
        <w:t xml:space="preserve"> </w:t>
      </w:r>
      <w:r>
        <w:t xml:space="preserve">58.8 degrees. Two of three preregistered crowding predictions passed.</w:t>
      </w:r>
    </w:p>
    <w:p>
      <w:pPr>
        <w:pStyle w:val="BodyText"/>
      </w:pPr>
      <w:r>
        <w:t xml:space="preserve">The phrase</w:t>
      </w:r>
      <w:r>
        <w:t xml:space="preserve"> </w:t>
      </w:r>
      <w:r>
        <w:t xml:space="preserve">“the helix gets saturated”</w:t>
      </w:r>
      <w:r>
        <w:t xml:space="preserve"> </w:t>
      </w:r>
      <w:r>
        <w:t xml:space="preserve">is too crude. The cleaner claim is a</w:t>
      </w:r>
      <w:r>
        <w:t xml:space="preserve"> </w:t>
      </w:r>
      <w:r>
        <w:t xml:space="preserve">resolution budget: longer answers still live in readable geometry, while nearby</w:t>
      </w:r>
      <w:r>
        <w:t xml:space="preserve"> </w:t>
      </w:r>
      <w:r>
        <w:t xml:space="preserve">chunk directions crowd together. This is the matrix body’s version of running</w:t>
      </w:r>
      <w:r>
        <w:t xml:space="preserve"> </w:t>
      </w:r>
      <w:r>
        <w:t xml:space="preserve">out of column width.</w:t>
      </w:r>
    </w:p>
    <w:bookmarkStart w:id="37" w:name="tab:digitscaling"/>
    <w:p>
      <w:pPr>
        <w:pStyle w:val="TableCaption"/>
      </w:pPr>
      <w:r>
        <w:t xml:space="preserve">Subtraction exact-match rate by answer digit count. Source:</w:t>
      </w:r>
      <w:r>
        <w:t xml:space="preserve"> </w:t>
      </w:r>
      <w:r>
        <w:rPr>
          <w:rStyle w:val="VerbatimChar"/>
        </w:rPr>
        <w:t xml:space="preserve">cd_e10_operand_scaling</w:t>
      </w:r>
      <w:r>
        <w:t xml:space="preserve">, 30 greedy generations per digit band.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Subtraction exact-match rate by answer digit count. Source: cd_e10_operand_scaling, 30 greedy generations per digit band.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right"/>
            </w:pPr>
            <w:r>
              <w:t xml:space="preserve">Digits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Exact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Prefix correct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Mean edit distance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96.67%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97.2%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0.10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63.33%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80.7%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0.60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13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53.33%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73.8%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1.07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14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43.33%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67.1%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1.07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16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33.33%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64.6%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1.40</w:t>
            </w:r>
          </w:p>
        </w:tc>
      </w:tr>
      <w:tr>
        <w:tc>
          <w:tcPr/>
          <w:p>
            <w:pPr>
              <w:pStyle w:val="Compact"/>
              <w:jc w:val="right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6.67%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17.6%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8.77</w:t>
            </w:r>
          </w:p>
        </w:tc>
      </w:tr>
    </w:tbl>
    <w:bookmarkEnd w:id="37"/>
    <w:bookmarkStart w:id="38" w:name="tab:chunkangles"/>
    <w:p>
      <w:pPr>
        <w:pStyle w:val="TableCaption"/>
      </w:pPr>
      <w:r>
        <w:t xml:space="preserve">Adjacent chunk subspace angles tightened in the 14-digit follow-up.</w:t>
      </w:r>
      <w:r>
        <w:t xml:space="preserve"> </w:t>
      </w:r>
      <w:r>
        <w:t xml:space="preserve">Smaller angles mean less separation between nearby readout directions.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Adjacent chunk subspace angles tightened in the 14-digit follow-up. Smaller angles mean less separation between nearby readout directions.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Chunk pair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12-digit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14-digit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c1–c2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71.3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right"/>
            </w:pPr>
            <w:r>
              <w:t xml:space="preserve">65.3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c2–c3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66.0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right"/>
            </w:pPr>
            <w:r>
              <w:t xml:space="preserve">60.2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c3–c4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67.4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  <w:tc>
          <w:tcPr/>
          <w:p>
            <w:pPr>
              <w:pStyle w:val="Compact"/>
              <w:jc w:val="right"/>
            </w:pPr>
            <w:r>
              <w:t xml:space="preserve">58.8</w:t>
            </w:r>
            <m:oMath>
              <m:sSup>
                <m:e>
                  <m:r>
                    <m:t>​</m:t>
                  </m:r>
                </m:e>
                <m:sup>
                  <m:r>
                    <m:rPr>
                      <m:sty m:val="p"/>
                    </m:rPr>
                    <m:t>∘</m:t>
                  </m:r>
                </m:sup>
              </m:sSup>
            </m:oMath>
          </w:p>
        </w:tc>
      </w:tr>
    </w:tbl>
    <w:bookmarkEnd w:id="38"/>
    <w:p>
      <w:pPr>
        <w:pStyle w:val="CaptionedFigure"/>
      </w:pPr>
      <w:r>
        <w:drawing>
          <wp:inline>
            <wp:extent cx="2814180" cy="1436317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docx_figures/tikz_figure_0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80" cy="1436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Crowding is a geometric resolution problem. In the experiments this</w:t>
      </w:r>
      <w:r>
        <w:t xml:space="preserve"> </w:t>
      </w:r>
      <w:r>
        <w:t xml:space="preserve">was measured with principal angles between chunk readout subspaces; the</w:t>
      </w:r>
      <w:r>
        <w:t xml:space="preserve"> </w:t>
      </w:r>
      <w:r>
        <w:t xml:space="preserve">drawing is only a visual guide to what smaller angles mean.</w:t>
      </w:r>
    </w:p>
    <w:bookmarkEnd w:id="42"/>
    <w:bookmarkStart w:id="43" w:name="what-failed-usefully"/>
    <w:p>
      <w:pPr>
        <w:pStyle w:val="Heading1"/>
      </w:pPr>
      <w:r>
        <w:t xml:space="preserve">What Failed Usefully</w:t>
      </w:r>
    </w:p>
    <w:p>
      <w:pPr>
        <w:pStyle w:val="FirstParagraph"/>
      </w:pPr>
      <w:r>
        <w:t xml:space="preserve">At first, this looked like a path toward the compiler dream. If we could write</w:t>
      </w:r>
      <w:r>
        <w:t xml:space="preserve"> </w:t>
      </w:r>
      <w:r>
        <w:t xml:space="preserve">the right answer state into the model, perhaps the model would continue from</w:t>
      </w:r>
      <w:r>
        <w:t xml:space="preserve"> </w:t>
      </w:r>
      <w:r>
        <w:t xml:space="preserve">there.</w:t>
      </w:r>
    </w:p>
    <w:p>
      <w:pPr>
        <w:pStyle w:val="BodyText"/>
      </w:pPr>
      <w:r>
        <w:t xml:space="preserve">The evidence sharpened that hope into something more modest. Making a model</w:t>
      </w:r>
      <w:r>
        <w:t xml:space="preserve"> </w:t>
      </w:r>
      <w:r>
        <w:t xml:space="preserve">emit a known answer is not the same as making the model compute. If the</w:t>
      </w:r>
      <w:r>
        <w:t xml:space="preserve"> </w:t>
      </w:r>
      <w:r>
        <w:t xml:space="preserve">experiment already knows the answer, and then uses that answer to choose a</w:t>
      </w:r>
      <w:r>
        <w:t xml:space="preserve"> </w:t>
      </w:r>
      <w:r>
        <w:t xml:space="preserve">steering vector, it has measured the model’s ability to render a supplied</w:t>
      </w:r>
      <w:r>
        <w:t xml:space="preserve"> </w:t>
      </w:r>
      <w:r>
        <w:t xml:space="preserve">value. Useful, yes; but it tells us little about arithmetic understanding, and</w:t>
      </w:r>
      <w:r>
        <w:t xml:space="preserve"> </w:t>
      </w:r>
      <w:r>
        <w:t xml:space="preserve">it would not be a deployable no-parser route.</w:t>
      </w:r>
    </w:p>
    <w:p>
      <w:pPr>
        <w:pStyle w:val="BodyText"/>
      </w:pPr>
      <w:r>
        <w:t xml:space="preserve">This was one of the first major lessons: token rendering can masquerade as</w:t>
      </w:r>
      <w:r>
        <w:t xml:space="preserve"> </w:t>
      </w:r>
      <w:r>
        <w:t xml:space="preserve">computation.</w:t>
      </w:r>
    </w:p>
    <w:p>
      <w:pPr>
        <w:pStyle w:val="BodyText"/>
      </w:pPr>
      <w:r>
        <w:t xml:space="preserve">The residual-write story also became clearer. We tried to write corrected</w:t>
      </w:r>
      <w:r>
        <w:t xml:space="preserve"> </w:t>
      </w:r>
      <w:r>
        <w:t xml:space="preserve">answer information into the model’s residual stream and let it continue. For</w:t>
      </w:r>
      <w:r>
        <w:t xml:space="preserve"> </w:t>
      </w:r>
      <w:r>
        <w:t xml:space="preserve">the tested single-site writes, residual interventions had no accuracy advantage</w:t>
      </w:r>
      <w:r>
        <w:t xml:space="preserve"> </w:t>
      </w:r>
      <w:r>
        <w:t xml:space="preserve">over simpler token or logit correction. Worse, they disturbed surrounding</w:t>
      </w:r>
      <w:r>
        <w:t xml:space="preserve"> </w:t>
      </w:r>
      <w:r>
        <w:t xml:space="preserve">behavior more. A readable variable is not necessarily a writable register; in</w:t>
      </w:r>
      <w:r>
        <w:t xml:space="preserve"> </w:t>
      </w:r>
      <w:r>
        <w:t xml:space="preserve">these runs, reading the body was easier than operating on it.</w:t>
      </w:r>
    </w:p>
    <w:p>
      <w:pPr>
        <w:pStyle w:val="BodyText"/>
      </w:pPr>
      <w:r>
        <w:t xml:space="preserve">Mechanistic interpretability often celebrates reading: decode a concept,</w:t>
      </w:r>
      <w:r>
        <w:t xml:space="preserve"> </w:t>
      </w:r>
      <w:r>
        <w:t xml:space="preserve">localize a feature, find a direction. Sparse autoencoders and dictionary</w:t>
      </w:r>
      <w:r>
        <w:t xml:space="preserve"> </w:t>
      </w:r>
      <w:r>
        <w:t xml:space="preserve">learning are one important approach to naming such features in dense activation</w:t>
      </w:r>
      <w:r>
        <w:t xml:space="preserve"> </w:t>
      </w:r>
      <w:r>
        <w:t xml:space="preserve">spaces </w:t>
      </w:r>
      <w:r>
        <w:t xml:space="preserve">(Bricken et al. 2023; Cunningham et al. 2023)</w:t>
      </w:r>
      <w:r>
        <w:t xml:space="preserve">. Activation patching is one common way</w:t>
      </w:r>
      <w:r>
        <w:t xml:space="preserve"> </w:t>
      </w:r>
      <w:r>
        <w:t xml:space="preserve">to move from readout toward causal evidence, but patching methodology has its</w:t>
      </w:r>
      <w:r>
        <w:t xml:space="preserve"> </w:t>
      </w:r>
      <w:r>
        <w:t xml:space="preserve">own pitfalls and metric choices </w:t>
      </w:r>
      <w:r>
        <w:t xml:space="preserve">(Zhang and Nanda 2024)</w:t>
      </w:r>
      <w:r>
        <w:t xml:space="preserve">. Engineering asks for</w:t>
      </w:r>
      <w:r>
        <w:t xml:space="preserve"> </w:t>
      </w:r>
      <w:r>
        <w:t xml:space="preserve">the harsher version: change the state, preserve the rest of the behavior, and</w:t>
      </w:r>
      <w:r>
        <w:t xml:space="preserve"> </w:t>
      </w:r>
      <w:r>
        <w:t xml:space="preserve">let execution continue.</w:t>
      </w:r>
    </w:p>
    <w:bookmarkEnd w:id="43"/>
    <w:bookmarkStart w:id="47" w:name="the-inspection-toolbox"/>
    <w:p>
      <w:pPr>
        <w:pStyle w:val="Heading1"/>
      </w:pPr>
      <w:r>
        <w:t xml:space="preserve">The Inspection Toolbox</w:t>
      </w:r>
    </w:p>
    <w:p>
      <w:pPr>
        <w:pStyle w:val="FirstParagraph"/>
      </w:pPr>
      <w:r>
        <w:t xml:space="preserve">Most of Rune was not one big experiment. It was a toolbox applied repeatedly,</w:t>
      </w:r>
      <w:r>
        <w:t xml:space="preserve"> </w:t>
      </w:r>
      <w:r>
        <w:t xml:space="preserve">with stricter controls each time. The tools are useful, but each answers a</w:t>
      </w:r>
      <w:r>
        <w:t xml:space="preserve"> </w:t>
      </w:r>
      <w:r>
        <w:t xml:space="preserve">different question.</w:t>
      </w:r>
    </w:p>
    <w:p>
      <w:pPr>
        <w:pStyle w:val="BodyText"/>
      </w:pPr>
      <w:r>
        <w:t xml:space="preserve">This is why the article keeps distinguishing readout, causality, and writable</w:t>
      </w:r>
      <w:r>
        <w:t xml:space="preserve"> </w:t>
      </w:r>
      <w:r>
        <w:t xml:space="preserve">replacement. A probe reads a fact from an activation. An SAE tries to name</w:t>
      </w:r>
      <w:r>
        <w:t xml:space="preserve"> </w:t>
      </w:r>
      <w:r>
        <w:t xml:space="preserve">reusable features. A patch copies part of one run into another and watches</w:t>
      </w:r>
      <w:r>
        <w:t xml:space="preserve"> </w:t>
      </w:r>
      <w:r>
        <w:t xml:space="preserve">whether behavior follows. Steering is the blunt instrument: push the state and</w:t>
      </w:r>
      <w:r>
        <w:t xml:space="preserve"> </w:t>
      </w:r>
      <w:r>
        <w:t xml:space="preserve">see what moves, or what breaks. Treating those as the same claim is how</w:t>
      </w:r>
      <w:r>
        <w:t xml:space="preserve"> </w:t>
      </w:r>
      <w:r>
        <w:t xml:space="preserve">interpretability experiments overclaim.</w:t>
      </w:r>
    </w:p>
    <w:p>
      <w:pPr>
        <w:pStyle w:val="CaptionedFigure"/>
      </w:pPr>
      <w:r>
        <w:drawing>
          <wp:inline>
            <wp:extent cx="4254673" cy="2275561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docx_figures/tikz_figure_0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73" cy="2275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same activation can be inspected in different ways. The tools do</w:t>
      </w:r>
      <w:r>
        <w:t xml:space="preserve"> </w:t>
      </w:r>
      <w:r>
        <w:t xml:space="preserve">not make the same claim: readout, feature naming, causal testing, and steering</w:t>
      </w:r>
      <w:r>
        <w:t xml:space="preserve"> </w:t>
      </w:r>
      <w:r>
        <w:t xml:space="preserve">are different standards of evidence.</w:t>
      </w:r>
    </w:p>
    <w:bookmarkEnd w:id="47"/>
    <w:bookmarkStart w:id="52" w:name="the-route-that-survived"/>
    <w:p>
      <w:pPr>
        <w:pStyle w:val="Heading1"/>
      </w:pPr>
      <w:r>
        <w:t xml:space="preserve">The Route That Survived</w:t>
      </w:r>
    </w:p>
    <w:p>
      <w:pPr>
        <w:pStyle w:val="FirstParagraph"/>
      </w:pPr>
      <w:r>
        <w:t xml:space="preserve">The final route matters because it is the proof apparatus for the wonder. It</w:t>
      </w:r>
      <w:r>
        <w:t xml:space="preserve"> </w:t>
      </w:r>
      <w:r>
        <w:t xml:space="preserve">does not make the model a better native calculator. It asks whether the matrix</w:t>
      </w:r>
      <w:r>
        <w:t xml:space="preserve"> </w:t>
      </w:r>
      <w:r>
        <w:t xml:space="preserve">body really carries the calculation description strongly enough that a</w:t>
      </w:r>
      <w:r>
        <w:t xml:space="preserve"> </w:t>
      </w:r>
      <w:r>
        <w:t xml:space="preserve">calculator can be called without reading the prompt text.</w:t>
      </w:r>
    </w:p>
    <w:p>
      <w:pPr>
        <w:pStyle w:val="BodyText"/>
      </w:pPr>
      <w:r>
        <w:t xml:space="preserve">The route used activation-only gates and operand readouts. It had to decide</w:t>
      </w:r>
      <w:r>
        <w:t xml:space="preserve"> </w:t>
      </w:r>
      <w:r>
        <w:t xml:space="preserve">when an arithmetic route was safe to fire, identify the operation, identify the</w:t>
      </w:r>
      <w:r>
        <w:t xml:space="preserve"> </w:t>
      </w:r>
      <w:r>
        <w:t xml:space="preserve">operand pair, and then call Python only after the decoded tuple was formed. The</w:t>
      </w:r>
      <w:r>
        <w:t xml:space="preserve"> </w:t>
      </w:r>
      <w:r>
        <w:t xml:space="preserve">final claim-bearing rerun was preregistered on June 2, 2026, with thresholds,</w:t>
      </w:r>
      <w:r>
        <w:t xml:space="preserve"> </w:t>
      </w:r>
      <w:r>
        <w:t xml:space="preserve">operand bounds, and the benchmark-suite runner fixed in advance.</w:t>
      </w:r>
    </w:p>
    <w:p>
      <w:pPr>
        <w:pStyle w:val="CaptionedFigure"/>
      </w:pPr>
      <w:r>
        <w:drawing>
          <wp:inline>
            <wp:extent cx="4271375" cy="2062619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docx_figures/tikz_figure_0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75" cy="2062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surviving route is activation-derived tool use. The calculator is</w:t>
      </w:r>
      <w:r>
        <w:t xml:space="preserve"> </w:t>
      </w:r>
      <w:r>
        <w:t xml:space="preserve">ordinary; the provenance question is whether its arguments came from hidden</w:t>
      </w:r>
      <w:r>
        <w:t xml:space="preserve"> </w:t>
      </w:r>
      <w:r>
        <w:t xml:space="preserve">state rather than forbidden prompt-derived fields.</w:t>
      </w:r>
    </w:p>
    <w:bookmarkStart w:id="51" w:name="tab:broad"/>
    <w:p>
      <w:pPr>
        <w:pStyle w:val="TableCaption"/>
      </w:pPr>
      <w:r>
        <w:t xml:space="preserve">Broad frozen arithmetic/adversarial cross-seed aggregate on</w:t>
      </w:r>
      <w:r>
        <w:t xml:space="preserve"> </w:t>
      </w:r>
      <w:r>
        <w:t xml:space="preserve">Llama-3.1-8B. Routed is exact-answer accuracy after activation-derived</w:t>
      </w:r>
      <w:r>
        <w:t xml:space="preserve"> </w:t>
      </w:r>
      <w:r>
        <w:t xml:space="preserve">routing. Lift is routed exact accuracy minus the frozen model’s native exact</w:t>
      </w:r>
      <w:r>
        <w:t xml:space="preserve"> </w:t>
      </w:r>
      <w:r>
        <w:t xml:space="preserve">accuracy on target prompts, with non-fired targets counted as the route’s</w:t>
      </w:r>
      <w:r>
        <w:t xml:space="preserve"> </w:t>
      </w:r>
      <w:r>
        <w:t xml:space="preserve">produced answer. False-fire is the rate of unwanted calculator calls on</w:t>
      </w:r>
      <w:r>
        <w:t xml:space="preserve"> </w:t>
      </w:r>
      <w:r>
        <w:t xml:space="preserve">prompts where the route should stay silent.</w:t>
      </w:r>
    </w:p>
    <w:tbl>
      <w:tblPr>
        <w:tblStyle w:val="Table"/>
        <w:tblW w:type="auto" w:w="0"/>
        <w:tblLook w:firstRow="1" w:lastRow="0" w:firstColumn="0" w:lastColumn="0" w:noHBand="0" w:noVBand="0" w:val="0020"/>
        <w:tblCaption w:val="Broad frozen arithmetic/adversarial cross-seed aggregate on Llama-3.1-8B. Routed is exact-answer accuracy after activation-derived routing. Lift is routed exact accuracy minus the frozen model’s native exact accuracy on target prompts, with non-fired targets counted as the route’s produced answer. False-fire is the rate of unwanted calculator calls on prompts where the route should stay silent.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Operation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Routed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Lift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False-fire rate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multiplication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0.865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0.852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division with remainder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0.909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0.693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lcm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0.969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0.966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gcd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0.922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0.594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0.000</w:t>
            </w:r>
          </w:p>
        </w:tc>
      </w:tr>
    </w:tbl>
    <w:bookmarkEnd w:id="51"/>
    <w:p>
      <w:pPr>
        <w:pStyle w:val="BodyText"/>
      </w:pPr>
      <w:r>
        <w:t xml:space="preserve">On a broad benchmark with the Llama weights kept frozen, the route passed across</w:t>
      </w:r>
      <w:r>
        <w:t xml:space="preserve"> </w:t>
      </w:r>
      <w:r>
        <w:t xml:space="preserve">four operations: multiplication, division with remainder, gcd, and lcm. Here</w:t>
      </w:r>
      <w:r>
        <w:t xml:space="preserve"> </w:t>
      </w:r>
      <w:r>
        <w:t xml:space="preserve">“passed”</w:t>
      </w:r>
      <w:r>
        <w:t xml:space="preserve"> </w:t>
      </w:r>
      <w:r>
        <w:t xml:space="preserve">means two things at once. On real arithmetic prompts, the route had</w:t>
      </w:r>
      <w:r>
        <w:t xml:space="preserve"> </w:t>
      </w:r>
      <w:r>
        <w:t xml:space="preserve">to fire: a gate had to decide that the calculator was allowed to run, and the</w:t>
      </w:r>
      <w:r>
        <w:t xml:space="preserve"> </w:t>
      </w:r>
      <w:r>
        <w:t xml:space="preserve">operation and operands had to come from activations. On adversarial prompts,</w:t>
      </w:r>
      <w:r>
        <w:t xml:space="preserve"> </w:t>
      </w:r>
      <w:r>
        <w:t xml:space="preserve">written to tempt the route into doing the wrong thing, it had to stay silent.</w:t>
      </w:r>
      <w:r>
        <w:t xml:space="preserve"> </w:t>
      </w:r>
      <w:r>
        <w:t xml:space="preserve">Across 11,736 locked examples—with examples, thresholds, and scoring rules</w:t>
      </w:r>
      <w:r>
        <w:t xml:space="preserve"> </w:t>
      </w:r>
      <w:r>
        <w:t xml:space="preserve">fixed before the final aggregate—and 1,536 targets, it produced large</w:t>
      </w:r>
      <w:r>
        <w:t xml:space="preserve"> </w:t>
      </w:r>
      <w:r>
        <w:t xml:space="preserve">exact-answer lifts with zero fires on the constructed hard-negative suite used</w:t>
      </w:r>
      <w:r>
        <w:t xml:space="preserve"> </w:t>
      </w:r>
      <w:r>
        <w:t xml:space="preserve">in this audit. A hard negative is a deliberately tricky no-fire prompt: it may</w:t>
      </w:r>
      <w:r>
        <w:t xml:space="preserve"> </w:t>
      </w:r>
      <w:r>
        <w:t xml:space="preserve">contain quoted arithmetic, code, a table of numbers, or an instruction saying</w:t>
      </w:r>
      <w:r>
        <w:t xml:space="preserve"> </w:t>
      </w:r>
      <w:r>
        <w:t xml:space="preserve">not to compute, but the correct behavior is no calculator call</w:t>
      </w:r>
      <w:r>
        <w:t xml:space="preserve"> </w:t>
      </w:r>
      <w:r>
        <w:t xml:space="preserve">(Table </w:t>
      </w:r>
      <w:hyperlink w:anchor="tab:broad">
        <w:r>
          <w:rPr>
            <w:rStyle w:val="Hyperlink"/>
          </w:rPr>
          <w:t xml:space="preserve">5</w:t>
        </w:r>
      </w:hyperlink>
      <w:r>
        <w:t xml:space="preserve">).</w:t>
      </w:r>
    </w:p>
    <w:p>
      <w:pPr>
        <w:pStyle w:val="BodyText"/>
      </w:pPr>
      <w:r>
        <w:t xml:space="preserve">The route’s operand bounds were frozen at integers from 0 through 9999, with at</w:t>
      </w:r>
      <w:r>
        <w:t xml:space="preserve"> </w:t>
      </w:r>
      <w:r>
        <w:t xml:space="preserve">most 12 generated answer tokens. In plain terms, the supported claim is</w:t>
      </w:r>
      <w:r>
        <w:t xml:space="preserve"> </w:t>
      </w:r>
      <w:r>
        <w:t xml:space="preserve">two-integer arithmetic within that published route, not arbitrary long</w:t>
      </w:r>
      <w:r>
        <w:t xml:space="preserve"> </w:t>
      </w:r>
      <w:r>
        <w:t xml:space="preserve">arithmetic.</w:t>
      </w:r>
    </w:p>
    <w:p>
      <w:pPr>
        <w:pStyle w:val="BodyText"/>
      </w:pPr>
      <w:r>
        <w:t xml:space="preserve">On a recognized source slice from the DeepMind Mathematics Dataset of Saxton</w:t>
      </w:r>
      <w:r>
        <w:t xml:space="preserve"> </w:t>
      </w:r>
      <w:r>
        <w:t xml:space="preserve">and colleagues </w:t>
      </w:r>
      <w:r>
        <w:t xml:space="preserve">(Saxton et al. 2019)</w:t>
      </w:r>
      <w:r>
        <w:t xml:space="preserve">, the result covered three operations: gcd,</w:t>
      </w:r>
      <w:r>
        <w:t xml:space="preserve"> </w:t>
      </w:r>
      <w:r>
        <w:t xml:space="preserve">division with remainder, and lcm. Recognized means the audit could map a dataset</w:t>
      </w:r>
      <w:r>
        <w:t xml:space="preserve"> </w:t>
      </w:r>
      <w:r>
        <w:t xml:space="preserve">prompt to one of the supported forms: two integer operands, a supported</w:t>
      </w:r>
      <w:r>
        <w:t xml:space="preserve"> </w:t>
      </w:r>
      <w:r>
        <w:t xml:space="preserve">operation, and a checkable answer. It is a coverage filter; unsupported</w:t>
      </w:r>
      <w:r>
        <w:t xml:space="preserve"> </w:t>
      </w:r>
      <w:r>
        <w:t xml:space="preserve">DeepMind prompts remain outside the claim. Multiplication was not claimed there</w:t>
      </w:r>
      <w:r>
        <w:t xml:space="preserve"> </w:t>
      </w:r>
      <w:r>
        <w:t xml:space="preserve">because the source filtering did not produce enough accepted two-integer</w:t>
      </w:r>
      <w:r>
        <w:t xml:space="preserve"> </w:t>
      </w:r>
      <w:r>
        <w:t xml:space="preserve">multiplication examples for a powered result. Across 3,822 locked examples and</w:t>
      </w:r>
      <w:r>
        <w:t xml:space="preserve"> </w:t>
      </w:r>
      <w:r>
        <w:t xml:space="preserve">1,233 targets, the activation-derived route again produced strong exact-answer</w:t>
      </w:r>
      <w:r>
        <w:t xml:space="preserve"> </w:t>
      </w:r>
      <w:r>
        <w:t xml:space="preserve">lifts with zero recorded false fires.</w:t>
      </w:r>
    </w:p>
    <w:p>
      <w:pPr>
        <w:pStyle w:val="BodyText"/>
      </w:pPr>
      <w:r>
        <w:t xml:space="preserve">In plain percentages, the accepted DeepMind slice is not a story about</w:t>
      </w:r>
      <w:r>
        <w:t xml:space="preserve"> </w:t>
      </w:r>
      <w:r>
        <w:t xml:space="preserve">preserving answers the model already knew. The routed exact rates were 99.2</w:t>
      </w:r>
      <w:r>
        <w:t xml:space="preserve"> </w:t>
      </w:r>
      <w:r>
        <w:t xml:space="preserve">percent for division with remainder, 100 percent for gcd, and 98.0 percent for</w:t>
      </w:r>
      <w:r>
        <w:t xml:space="preserve"> </w:t>
      </w:r>
      <w:r>
        <w:t xml:space="preserve">lcm, with exact-answer gains of 81.0, 50.2, and 96.8 percentage points over the</w:t>
      </w:r>
      <w:r>
        <w:t xml:space="preserve"> </w:t>
      </w:r>
      <w:r>
        <w:t xml:space="preserve">frozen model’s native answers.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Should fire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Should not fire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Calculate the highest common factor of 5924 and 1024.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She wrote ’gcd(48, 18) = 6’ on the whiteboard and then changed the subject to budgets of 200 and 300.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What is the remainder when 7696 is divided by 5130?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A reporter typed ’144 / 12’ into her notes but the story was about a basketball game.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What is the smallest common multiple of 4740 and 1152?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rStyle w:val="VerbatimChar"/>
              </w:rPr>
              <w:t xml:space="preserve">The chart showed 6, 12, 18, 24 as factor labels but the article discussed musical notation.</w:t>
            </w:r>
          </w:p>
        </w:tc>
      </w:tr>
    </w:tbl>
    <w:p>
      <w:pPr>
        <w:pStyle w:val="BodyText"/>
      </w:pPr>
      <w:r>
        <w:t xml:space="preserve">The safety and provenance work mattered as much as the benchmark lifts.</w:t>
      </w:r>
      <w:r>
        <w:t xml:space="preserve"> </w:t>
      </w:r>
      <w:r>
        <w:t xml:space="preserve">Provenance, concretely, means the audit trail for where the calculator arguments</w:t>
      </w:r>
      <w:r>
        <w:t xml:space="preserve"> </w:t>
      </w:r>
      <w:r>
        <w:t xml:space="preserve">came from. We ran a full replay audit over 15,558 runtime bundles, excluding</w:t>
      </w:r>
      <w:r>
        <w:t xml:space="preserve"> </w:t>
      </w:r>
      <w:r>
        <w:t xml:space="preserve">forbidden fields such as prompt text, regex outputs, decoded token spans,</w:t>
      </w:r>
      <w:r>
        <w:t xml:space="preserve"> </w:t>
      </w:r>
      <w:r>
        <w:t xml:space="preserve">harness operands, operation labels, and gold answers. The route had to</w:t>
      </w:r>
      <w:r>
        <w:t xml:space="preserve"> </w:t>
      </w:r>
      <w:r>
        <w:t xml:space="preserve">reproduce from allowed runtime artifacts. It passed with zero replay failures.</w:t>
      </w:r>
    </w:p>
    <w:p>
      <w:pPr>
        <w:pStyle w:val="BodyText"/>
      </w:pPr>
      <w:r>
        <w:t xml:space="preserve">We also ran an independent hard-negative audit, using no-fire cases generated</w:t>
      </w:r>
      <w:r>
        <w:t xml:space="preserve"> </w:t>
      </w:r>
      <w:r>
        <w:t xml:space="preserve">separately from the positive arithmetic benchmark. The categories included</w:t>
      </w:r>
      <w:r>
        <w:t xml:space="preserve"> </w:t>
      </w:r>
      <w:r>
        <w:t xml:space="preserve">quoted arithmetic, do-not-compute prompts, wrong-operation prompts with the same</w:t>
      </w:r>
      <w:r>
        <w:t xml:space="preserve"> </w:t>
      </w:r>
      <w:r>
        <w:t xml:space="preserve">numbers, tables, logs, code, invoices, distractor-heavy number text, decimals,</w:t>
      </w:r>
      <w:r>
        <w:t xml:space="preserve"> </w:t>
      </w:r>
      <w:r>
        <w:t xml:space="preserve">signs, and out-of-domain cases. Across 10,200 non-trigger examples, the route</w:t>
      </w:r>
      <w:r>
        <w:t xml:space="preserve"> </w:t>
      </w:r>
      <w:r>
        <w:t xml:space="preserve">did not fire. That zero is a strong scoped audit result, not a universal safety</w:t>
      </w:r>
      <w:r>
        <w:t xml:space="preserve"> </w:t>
      </w:r>
      <w:r>
        <w:t xml:space="preserve">claim: the hard negatives were constructed within this project, and an</w:t>
      </w:r>
      <w:r>
        <w:t xml:space="preserve"> </w:t>
      </w:r>
      <w:r>
        <w:t xml:space="preserve">independently generated adversarial suite would be the next stronger test.</w:t>
      </w:r>
    </w:p>
    <w:bookmarkEnd w:id="52"/>
    <w:bookmarkStart w:id="53" w:name="the-boundary"/>
    <w:p>
      <w:pPr>
        <w:pStyle w:val="Heading1"/>
      </w:pPr>
      <w:r>
        <w:t xml:space="preserve">The Boundary</w:t>
      </w:r>
    </w:p>
    <w:p>
      <w:pPr>
        <w:pStyle w:val="FirstParagraph"/>
      </w:pPr>
      <w:r>
        <w:t xml:space="preserve">There is causal support, but it has to be said carefully. In causal interchange</w:t>
      </w:r>
      <w:r>
        <w:t xml:space="preserve"> </w:t>
      </w:r>
      <w:r>
        <w:t xml:space="preserve">tests, selected internal operand chunks could be patched from donor examples</w:t>
      </w:r>
      <w:r>
        <w:t xml:space="preserve"> </w:t>
      </w:r>
      <w:r>
        <w:t xml:space="preserve">into recipient examples, and the decoded operands and routed calculator answers</w:t>
      </w:r>
      <w:r>
        <w:t xml:space="preserve"> </w:t>
      </w:r>
      <w:r>
        <w:t xml:space="preserve">followed the donor. This uses the same broad causal-intervention discipline as</w:t>
      </w:r>
      <w:r>
        <w:t xml:space="preserve"> </w:t>
      </w:r>
      <w:r>
        <w:t xml:space="preserve">activation patching and causal mediation work, not a new causal methodology</w:t>
      </w:r>
      <w:r>
        <w:t xml:space="preserve"> </w:t>
      </w:r>
      <w:r>
        <w:t xml:space="preserve">invented here </w:t>
      </w:r>
      <w:r>
        <w:t xml:space="preserve">(Stolfo et al. 2023; Zhang and Nanda 2024)</w:t>
      </w:r>
      <w:r>
        <w:t xml:space="preserve">. It supports the claim that</w:t>
      </w:r>
      <w:r>
        <w:t xml:space="preserve"> </w:t>
      </w:r>
      <w:r>
        <w:t xml:space="preserve">those internal chunks are causally involved in the decoded tuple. In the final</w:t>
      </w:r>
      <w:r>
        <w:t xml:space="preserve"> </w:t>
      </w:r>
      <w:r>
        <w:t xml:space="preserve">DeepMind causal summary, division with remainder cleared the powered pair-count</w:t>
      </w:r>
      <w:r>
        <w:t xml:space="preserve"> </w:t>
      </w:r>
      <w:r>
        <w:t xml:space="preserve">gate. Gcd and lcm had perfect rates in the available pairs, but too few pairs</w:t>
      </w:r>
      <w:r>
        <w:t xml:space="preserve"> </w:t>
      </w:r>
      <w:r>
        <w:t xml:space="preserve">to clear the frozen causal gate. So the causal evidence is supportive, not</w:t>
      </w:r>
      <w:r>
        <w:t xml:space="preserve"> </w:t>
      </w:r>
      <w:r>
        <w:t xml:space="preserve">fully powered across every final operation.</w:t>
      </w:r>
    </w:p>
    <w:p>
      <w:pPr>
        <w:pStyle w:val="BodyText"/>
      </w:pPr>
      <w:r>
        <w:t xml:space="preserve">The cross-model result was a stop sign. The real Qwen operand-localization</w:t>
      </w:r>
      <w:r>
        <w:t xml:space="preserve"> </w:t>
      </w:r>
      <w:r>
        <w:t xml:space="preserve">diagnostic reports</w:t>
      </w:r>
      <w:r>
        <w:t xml:space="preserve"> </w:t>
      </w:r>
      <w:r>
        <w:rPr>
          <w:rStyle w:val="VerbatimChar"/>
        </w:rPr>
        <w:t xml:space="preserve">QWEN_OPERAND_ROUTE_FAIL</w:t>
      </w:r>
      <w:r>
        <w:t xml:space="preserve">: across the sampled</w:t>
      </w:r>
      <w:r>
        <w:t xml:space="preserve"> </w:t>
      </w:r>
      <w:r>
        <w:t xml:space="preserve">answer-site and input-token positions, ordered and unordered pair recovery</w:t>
      </w:r>
      <w:r>
        <w:t xml:space="preserve"> </w:t>
      </w:r>
      <w:r>
        <w:t xml:space="preserve">stayed at 0.000. The current Llama route did not transfer. Internal activation</w:t>
      </w:r>
      <w:r>
        <w:t xml:space="preserve"> </w:t>
      </w:r>
      <w:r>
        <w:t xml:space="preserve">routes are not portable the way text parsers are. A parser sees the same string.</w:t>
      </w:r>
      <w:r>
        <w:t xml:space="preserve"> </w:t>
      </w:r>
      <w:r>
        <w:t xml:space="preserve">A different model may have a different body, a different geometry, and</w:t>
      </w:r>
      <w:r>
        <w:t xml:space="preserve"> </w:t>
      </w:r>
      <w:r>
        <w:t xml:space="preserve">therefore a different arithmetic.</w:t>
      </w:r>
    </w:p>
    <w:p>
      <w:pPr>
        <w:pStyle w:val="BodyText"/>
      </w:pPr>
      <w:r>
        <w:t xml:space="preserve">The next steps are concrete: build model-specific operand localizers instead of</w:t>
      </w:r>
      <w:r>
        <w:t xml:space="preserve"> </w:t>
      </w:r>
      <w:r>
        <w:t xml:space="preserve">assuming transfer; complete causal interchange tests where source coverage</w:t>
      </w:r>
      <w:r>
        <w:t xml:space="preserve"> </w:t>
      </w:r>
      <w:r>
        <w:t xml:space="preserve">allows it; compare any residual-write attempt against boring logit and parser</w:t>
      </w:r>
      <w:r>
        <w:t xml:space="preserve"> </w:t>
      </w:r>
      <w:r>
        <w:t xml:space="preserve">baselines; and keep the no-parser replay boundary as a non-negotiable test.</w:t>
      </w:r>
    </w:p>
    <w:p>
      <w:pPr>
        <w:pStyle w:val="BodyText"/>
      </w:pPr>
      <w:r>
        <w:t xml:space="preserve">Here is the final claim without ceremony: on the current benchmark slices, a</w:t>
      </w:r>
      <w:r>
        <w:t xml:space="preserve"> </w:t>
      </w:r>
      <w:r>
        <w:t xml:space="preserve">frozen Llama model’s activations can supply operation and operand arguments for</w:t>
      </w:r>
      <w:r>
        <w:t xml:space="preserve"> </w:t>
      </w:r>
      <w:r>
        <w:t xml:space="preserve">an exact calculator under an opaque, no-parser runtime. The result is a boundary</w:t>
      </w:r>
      <w:r>
        <w:t xml:space="preserve"> </w:t>
      </w:r>
      <w:r>
        <w:t xml:space="preserve">claim. It leaves native arithmetic repair, general cross-model transfer, and</w:t>
      </w:r>
      <w:r>
        <w:t xml:space="preserve"> </w:t>
      </w:r>
      <w:r>
        <w:t xml:space="preserve">behavior-preserving residual JIT compilation unsolved. Inside that boundary, the</w:t>
      </w:r>
      <w:r>
        <w:t xml:space="preserve"> </w:t>
      </w:r>
      <w:r>
        <w:t xml:space="preserve">model’s hidden state can contain the calculation even when the visible answer</w:t>
      </w:r>
      <w:r>
        <w:t xml:space="preserve"> </w:t>
      </w:r>
      <w:r>
        <w:t xml:space="preserve">would be wrong, and the provenance rules are what keep that sentence honest.</w:t>
      </w:r>
    </w:p>
    <w:bookmarkEnd w:id="53"/>
    <w:bookmarkStart w:id="54" w:name="what-to-take-away"/>
    <w:p>
      <w:pPr>
        <w:pStyle w:val="Heading1"/>
      </w:pPr>
      <w:r>
        <w:t xml:space="preserve">What To Take Away</w:t>
      </w:r>
    </w:p>
    <w:p>
      <w:pPr>
        <w:pStyle w:val="FirstParagraph"/>
      </w:pPr>
      <w:r>
        <w:t xml:space="preserve">Models really do build arithmetic-shaped internal structure. It is not the</w:t>
      </w:r>
      <w:r>
        <w:t xml:space="preserve"> </w:t>
      </w:r>
      <w:r>
        <w:t xml:space="preserve">arithmetic humans experience with fingers and written columns. It is a geometry</w:t>
      </w:r>
      <w:r>
        <w:t xml:space="preserve"> </w:t>
      </w:r>
      <w:r>
        <w:t xml:space="preserve">of directions, rotations, periodic features, and value-like residual states: one</w:t>
      </w:r>
      <w:r>
        <w:t xml:space="preserve"> </w:t>
      </w:r>
      <w:r>
        <w:t xml:space="preserve">way for a matrix-only body to represent divisibility, magnitude, chunks, and</w:t>
      </w:r>
      <w:r>
        <w:t xml:space="preserve"> </w:t>
      </w:r>
      <w:r>
        <w:t xml:space="preserve">numeric emission.</w:t>
      </w:r>
    </w:p>
    <w:p>
      <w:pPr>
        <w:pStyle w:val="BodyText"/>
      </w:pPr>
      <w:r>
        <w:t xml:space="preserve">Reading those structures is easier than turning them into a robust system.</w:t>
      </w:r>
      <w:r>
        <w:t xml:space="preserve"> </w:t>
      </w:r>
      <w:r>
        <w:t xml:space="preserve">Probes can look good for the wrong reason; steering can render an answer without</w:t>
      </w:r>
      <w:r>
        <w:t xml:space="preserve"> </w:t>
      </w:r>
      <w:r>
        <w:t xml:space="preserve">proving computation; residual writes can change a token while damaging the</w:t>
      </w:r>
      <w:r>
        <w:t xml:space="preserve"> </w:t>
      </w:r>
      <w:r>
        <w:t xml:space="preserve">model’s state. The useful science came from the controls that survived after</w:t>
      </w:r>
      <w:r>
        <w:t xml:space="preserve"> </w:t>
      </w:r>
      <w:r>
        <w:t xml:space="preserve">the attractive first signals were made harder to fool.</w:t>
      </w:r>
    </w:p>
    <w:p>
      <w:pPr>
        <w:pStyle w:val="BodyText"/>
      </w:pPr>
      <w:r>
        <w:t xml:space="preserve">There are three routes here, and they should not be graded as one achievement.</w:t>
      </w:r>
      <w:r>
        <w:t xml:space="preserve"> </w:t>
      </w:r>
      <w:r>
        <w:t xml:space="preserve">Text-driven tool use parses the prompt and calls the tool. Activation-derived</w:t>
      </w:r>
      <w:r>
        <w:t xml:space="preserve"> </w:t>
      </w:r>
      <w:r>
        <w:t xml:space="preserve">tool use proves that the tool arguments came from the model’s internal state.</w:t>
      </w:r>
      <w:r>
        <w:t xml:space="preserve"> </w:t>
      </w:r>
      <w:r>
        <w:t xml:space="preserve">Residual replacement writes the result back into the model and preserves</w:t>
      </w:r>
      <w:r>
        <w:t xml:space="preserve"> </w:t>
      </w:r>
      <w:r>
        <w:t xml:space="preserve">behavior. Rune makes progress on the second route. The third remains open.</w:t>
      </w:r>
    </w:p>
    <w:p>
      <w:pPr>
        <w:pStyle w:val="BodyText"/>
      </w:pPr>
      <w:r>
        <w:t xml:space="preserve">If you want to build systems from those traces, do not trust the first clean</w:t>
      </w:r>
      <w:r>
        <w:t xml:space="preserve"> </w:t>
      </w:r>
      <w:r>
        <w:t xml:space="preserve">signal. Ask what else it could be measuring. Remove the prompt text. Remove the</w:t>
      </w:r>
      <w:r>
        <w:t xml:space="preserve"> </w:t>
      </w:r>
      <w:r>
        <w:t xml:space="preserve">labels. Replay without the forbidden fields. Add the uncomfortable negatives.</w:t>
      </w:r>
      <w:r>
        <w:t xml:space="preserve"> </w:t>
      </w:r>
      <w:r>
        <w:t xml:space="preserve">Compare against the plain baseline. Separate what the model represents from what</w:t>
      </w:r>
      <w:r>
        <w:t xml:space="preserve"> </w:t>
      </w:r>
      <w:r>
        <w:t xml:space="preserve">you can safely write.</w:t>
      </w:r>
    </w:p>
    <w:p>
      <w:pPr>
        <w:pStyle w:val="BodyText"/>
      </w:pPr>
      <w:r>
        <w:t xml:space="preserve">That is how the story gets smaller. It is also how it becomes true.</w:t>
      </w:r>
    </w:p>
    <w:bookmarkEnd w:id="54"/>
    <w:bookmarkStart w:id="79" w:name="bibliography"/>
    <w:p>
      <w:pPr>
        <w:pStyle w:val="Heading1"/>
      </w:pPr>
      <w:r>
        <w:t xml:space="preserve">References</w:t>
      </w:r>
    </w:p>
    <w:bookmarkStart w:id="78" w:name="refs"/>
    <w:bookmarkStart w:id="56" w:name="ref-bricken2023"/>
    <w:p>
      <w:pPr>
        <w:pStyle w:val="Bibliography"/>
      </w:pPr>
      <w:r>
        <w:t xml:space="preserve">Bricken, Trenton, Adly Templeton, Joshua Batson, et al. 2023.</w:t>
      </w:r>
      <w:r>
        <w:t xml:space="preserve"> </w:t>
      </w:r>
      <w:r>
        <w:t xml:space="preserve">“Towards Monosemanticity: Decomposing Language Models with Dictionary Learning.”</w:t>
      </w:r>
      <w:r>
        <w:t xml:space="preserve"> </w:t>
      </w:r>
      <w:r>
        <w:rPr>
          <w:i/>
          <w:iCs/>
        </w:rPr>
        <w:t xml:space="preserve">Transformer Circuits Thread</w:t>
      </w:r>
      <w:r>
        <w:t xml:space="preserve">.</w:t>
      </w:r>
      <w:r>
        <w:t xml:space="preserve"> </w:t>
      </w:r>
      <w:hyperlink r:id="rId55">
        <w:r>
          <w:rPr>
            <w:rStyle w:val="Hyperlink"/>
          </w:rPr>
          <w:t xml:space="preserve">https://transformer-circuits.pub/2023/monosemantic-features/</w:t>
        </w:r>
      </w:hyperlink>
      <w:r>
        <w:t xml:space="preserve">.</w:t>
      </w:r>
    </w:p>
    <w:bookmarkEnd w:id="56"/>
    <w:bookmarkStart w:id="58" w:name="ref-chen2022pot"/>
    <w:p>
      <w:pPr>
        <w:pStyle w:val="Bibliography"/>
      </w:pPr>
      <w:r>
        <w:t xml:space="preserve">Chen, Wenhu, Xueguang Ma, Xinyi Wang, and William W. Cohen. 2023.</w:t>
      </w:r>
      <w:r>
        <w:t xml:space="preserve"> </w:t>
      </w:r>
      <w:r>
        <w:t xml:space="preserve">“Program of Thoughts Prompting: Disentangling Computation from Reasoning for Numerical Reasoning Tasks.”</w:t>
      </w:r>
      <w:r>
        <w:t xml:space="preserve"> </w:t>
      </w:r>
      <w:r>
        <w:rPr>
          <w:i/>
          <w:iCs/>
        </w:rPr>
        <w:t xml:space="preserve">Transactions on Machine Learning Research</w:t>
      </w:r>
      <w:r>
        <w:t xml:space="preserve">, ahead of print.</w:t>
      </w:r>
      <w:r>
        <w:t xml:space="preserve"> </w:t>
      </w:r>
      <w:hyperlink r:id="rId57">
        <w:r>
          <w:rPr>
            <w:rStyle w:val="Hyperlink"/>
          </w:rPr>
          <w:t xml:space="preserve">https://doi.org/10.48550/arXiv.2211.12588</w:t>
        </w:r>
      </w:hyperlink>
      <w:r>
        <w:t xml:space="preserve">.</w:t>
      </w:r>
    </w:p>
    <w:bookmarkEnd w:id="58"/>
    <w:bookmarkStart w:id="60" w:name="ref-cunningham2023"/>
    <w:p>
      <w:pPr>
        <w:pStyle w:val="Bibliography"/>
      </w:pPr>
      <w:r>
        <w:t xml:space="preserve">Cunningham, Hoagy, Aidan Ewart, Logan Riggs, Robert Huben, and Lee Sharkey. 2023.</w:t>
      </w:r>
      <w:r>
        <w:t xml:space="preserve"> </w:t>
      </w:r>
      <w:r>
        <w:t xml:space="preserve">“Sparse Autoencoders Find Highly Interpretable Features in Language Models.”</w:t>
      </w:r>
      <w:r>
        <w:t xml:space="preserve"> </w:t>
      </w:r>
      <w:r>
        <w:rPr>
          <w:i/>
          <w:iCs/>
        </w:rPr>
        <w:t xml:space="preserve">arXiv Preprint arXiv:2309.08600</w:t>
      </w:r>
      <w:r>
        <w:t xml:space="preserve">, ahead of print.</w:t>
      </w:r>
      <w:r>
        <w:t xml:space="preserve"> </w:t>
      </w:r>
      <w:hyperlink r:id="rId59">
        <w:r>
          <w:rPr>
            <w:rStyle w:val="Hyperlink"/>
          </w:rPr>
          <w:t xml:space="preserve">https://doi.org/10.48550/arXiv.2309.08600</w:t>
        </w:r>
      </w:hyperlink>
      <w:r>
        <w:t xml:space="preserve">.</w:t>
      </w:r>
    </w:p>
    <w:bookmarkEnd w:id="60"/>
    <w:bookmarkStart w:id="62" w:name="ref-gao2022pal"/>
    <w:p>
      <w:pPr>
        <w:pStyle w:val="Bibliography"/>
      </w:pPr>
      <w:r>
        <w:t xml:space="preserve">Gao, Luyu, Aman Madaan, Shuyan Zhou, et al. 2022.</w:t>
      </w:r>
      <w:r>
        <w:t xml:space="preserve"> </w:t>
      </w:r>
      <w:r>
        <w:t xml:space="preserve">“</w:t>
      </w:r>
      <w:r>
        <w:t xml:space="preserve">PAL</w:t>
      </w:r>
      <w:r>
        <w:t xml:space="preserve">: Program-Aided Language Models.”</w:t>
      </w:r>
      <w:r>
        <w:t xml:space="preserve"> </w:t>
      </w:r>
      <w:r>
        <w:rPr>
          <w:i/>
          <w:iCs/>
        </w:rPr>
        <w:t xml:space="preserve">arXiv Preprint arXiv:2211.10435</w:t>
      </w:r>
      <w:r>
        <w:t xml:space="preserve">, ahead of print.</w:t>
      </w:r>
      <w:r>
        <w:t xml:space="preserve"> </w:t>
      </w:r>
      <w:hyperlink r:id="rId61">
        <w:r>
          <w:rPr>
            <w:rStyle w:val="Hyperlink"/>
          </w:rPr>
          <w:t xml:space="preserve">https://doi.org/10.48550/arXiv.2211.10435</w:t>
        </w:r>
      </w:hyperlink>
      <w:r>
        <w:t xml:space="preserve">.</w:t>
      </w:r>
    </w:p>
    <w:bookmarkEnd w:id="62"/>
    <w:bookmarkStart w:id="64" w:name="ref-kantamneni2025"/>
    <w:p>
      <w:pPr>
        <w:pStyle w:val="Bibliography"/>
      </w:pPr>
      <w:r>
        <w:t xml:space="preserve">Kantamneni, Subhash, and Max Tegmark. 2025.</w:t>
      </w:r>
      <w:r>
        <w:t xml:space="preserve"> </w:t>
      </w:r>
      <w:r>
        <w:t xml:space="preserve">“Language Models Use Trigonometry to Do Addition.”</w:t>
      </w:r>
      <w:r>
        <w:t xml:space="preserve"> </w:t>
      </w:r>
      <w:r>
        <w:rPr>
          <w:i/>
          <w:iCs/>
        </w:rPr>
        <w:t xml:space="preserve">arXiv Preprint arXiv:2502.00873</w:t>
      </w:r>
      <w:r>
        <w:t xml:space="preserve">, ahead of print.</w:t>
      </w:r>
      <w:r>
        <w:t xml:space="preserve"> </w:t>
      </w:r>
      <w:hyperlink r:id="rId63">
        <w:r>
          <w:rPr>
            <w:rStyle w:val="Hyperlink"/>
          </w:rPr>
          <w:t xml:space="preserve">https://doi.org/10.48550/arXiv.2502.00873</w:t>
        </w:r>
      </w:hyperlink>
      <w:r>
        <w:t xml:space="preserve">.</w:t>
      </w:r>
    </w:p>
    <w:bookmarkEnd w:id="64"/>
    <w:bookmarkStart w:id="65" w:name="ref-lakoff2000"/>
    <w:p>
      <w:pPr>
        <w:pStyle w:val="Bibliography"/>
      </w:pPr>
      <w:r>
        <w:t xml:space="preserve">Lakoff, George, and Rafael E. Núñez. 2000.</w:t>
      </w:r>
      <w:r>
        <w:t xml:space="preserve"> </w:t>
      </w:r>
      <w:r>
        <w:rPr>
          <w:i/>
          <w:iCs/>
        </w:rPr>
        <w:t xml:space="preserve">Where Mathematics Comes from: How the Embodied Mind Brings Mathematics into Being</w:t>
      </w:r>
      <w:r>
        <w:t xml:space="preserve">. Basic Books.</w:t>
      </w:r>
    </w:p>
    <w:bookmarkEnd w:id="65"/>
    <w:bookmarkStart w:id="67" w:name="ref-nikankin2024"/>
    <w:p>
      <w:pPr>
        <w:pStyle w:val="Bibliography"/>
      </w:pPr>
      <w:r>
        <w:t xml:space="preserve">Nikankin, Yaniv, Anja Reusch, Aaron Mueller, and Yonatan Belinkov. 2024.</w:t>
      </w:r>
      <w:r>
        <w:t xml:space="preserve"> </w:t>
      </w:r>
      <w:r>
        <w:t xml:space="preserve">“Arithmetic Without Algorithms: Language Models Solve Math with a Bag of Heuristics.”</w:t>
      </w:r>
      <w:r>
        <w:t xml:space="preserve"> </w:t>
      </w:r>
      <w:r>
        <w:rPr>
          <w:i/>
          <w:iCs/>
        </w:rPr>
        <w:t xml:space="preserve">arXiv Preprint arXiv:2410.21272</w:t>
      </w:r>
      <w:r>
        <w:t xml:space="preserve">, ahead of print.</w:t>
      </w:r>
      <w:r>
        <w:t xml:space="preserve"> </w:t>
      </w:r>
      <w:hyperlink r:id="rId66">
        <w:r>
          <w:rPr>
            <w:rStyle w:val="Hyperlink"/>
          </w:rPr>
          <w:t xml:space="preserve">https://doi.org/10.48550/arXiv.2410.21272</w:t>
        </w:r>
      </w:hyperlink>
      <w:r>
        <w:t xml:space="preserve">.</w:t>
      </w:r>
    </w:p>
    <w:bookmarkEnd w:id="67"/>
    <w:bookmarkStart w:id="69" w:name="ref-saxton2019"/>
    <w:p>
      <w:pPr>
        <w:pStyle w:val="Bibliography"/>
      </w:pPr>
      <w:r>
        <w:t xml:space="preserve">Saxton, David, Edward Grefenstette, Felix Hill, and Pushmeet Kohli. 2019.</w:t>
      </w:r>
      <w:r>
        <w:t xml:space="preserve"> </w:t>
      </w:r>
      <w:r>
        <w:t xml:space="preserve">“Analysing Mathematical Reasoning Abilities of Neural Models.”</w:t>
      </w:r>
      <w:r>
        <w:t xml:space="preserve"> </w:t>
      </w:r>
      <w:r>
        <w:rPr>
          <w:i/>
          <w:iCs/>
        </w:rPr>
        <w:t xml:space="preserve">International Conference on Learning Representations</w:t>
      </w:r>
      <w:r>
        <w:t xml:space="preserve">, ahead of print.</w:t>
      </w:r>
      <w:r>
        <w:t xml:space="preserve"> </w:t>
      </w:r>
      <w:hyperlink r:id="rId68">
        <w:r>
          <w:rPr>
            <w:rStyle w:val="Hyperlink"/>
          </w:rPr>
          <w:t xml:space="preserve">https://doi.org/10.48550/arXiv.1904.01557</w:t>
        </w:r>
      </w:hyperlink>
      <w:r>
        <w:t xml:space="preserve">.</w:t>
      </w:r>
    </w:p>
    <w:bookmarkEnd w:id="69"/>
    <w:bookmarkStart w:id="71" w:name="ref-schick2023"/>
    <w:p>
      <w:pPr>
        <w:pStyle w:val="Bibliography"/>
      </w:pPr>
      <w:r>
        <w:t xml:space="preserve">Schick, Timo, Jane Dwivedi-Yu, Roberto Dessì, et al. 2023.</w:t>
      </w:r>
      <w:r>
        <w:t xml:space="preserve"> </w:t>
      </w:r>
      <w:r>
        <w:t xml:space="preserve">“Toolformer: Language Models Can Teach Themselves to Use Tools.”</w:t>
      </w:r>
      <w:r>
        <w:t xml:space="preserve"> </w:t>
      </w:r>
      <w:r>
        <w:rPr>
          <w:i/>
          <w:iCs/>
        </w:rPr>
        <w:t xml:space="preserve">arXiv Preprint arXiv:2302.04761</w:t>
      </w:r>
      <w:r>
        <w:t xml:space="preserve">, ahead of print.</w:t>
      </w:r>
      <w:r>
        <w:t xml:space="preserve"> </w:t>
      </w:r>
      <w:hyperlink r:id="rId70">
        <w:r>
          <w:rPr>
            <w:rStyle w:val="Hyperlink"/>
          </w:rPr>
          <w:t xml:space="preserve">https://doi.org/10.48550/arXiv.2302.04761</w:t>
        </w:r>
      </w:hyperlink>
      <w:r>
        <w:t xml:space="preserve">.</w:t>
      </w:r>
    </w:p>
    <w:bookmarkEnd w:id="71"/>
    <w:bookmarkStart w:id="73" w:name="ref-stolfo2023"/>
    <w:p>
      <w:pPr>
        <w:pStyle w:val="Bibliography"/>
      </w:pPr>
      <w:r>
        <w:t xml:space="preserve">Stolfo, Alessandro, Yonatan Belinkov, and Mrinmaya Sachan. 2023.</w:t>
      </w:r>
      <w:r>
        <w:t xml:space="preserve"> </w:t>
      </w:r>
      <w:r>
        <w:t xml:space="preserve">“A Mechanistic Interpretation of Arithmetic Reasoning in Language Models Using Causal Mediation Analysis.”</w:t>
      </w:r>
      <w:r>
        <w:t xml:space="preserve"> </w:t>
      </w:r>
      <w:r>
        <w:rPr>
          <w:i/>
          <w:iCs/>
        </w:rPr>
        <w:t xml:space="preserve">Proceedings of the 2023 Conference on Empirical Methods in Natural Language Processing</w:t>
      </w:r>
      <w:r>
        <w:t xml:space="preserve">, ahead of print.</w:t>
      </w:r>
      <w:r>
        <w:t xml:space="preserve"> </w:t>
      </w:r>
      <w:hyperlink r:id="rId72">
        <w:r>
          <w:rPr>
            <w:rStyle w:val="Hyperlink"/>
          </w:rPr>
          <w:t xml:space="preserve">https://doi.org/10.48550/arXiv.2305.15054</w:t>
        </w:r>
      </w:hyperlink>
      <w:r>
        <w:t xml:space="preserve">.</w:t>
      </w:r>
    </w:p>
    <w:bookmarkEnd w:id="73"/>
    <w:bookmarkStart w:id="75" w:name="ref-yao2022react"/>
    <w:p>
      <w:pPr>
        <w:pStyle w:val="Bibliography"/>
      </w:pPr>
      <w:r>
        <w:t xml:space="preserve">Yao, Shunyu, Jeffrey Zhao, Dian Yu, et al. 2023.</w:t>
      </w:r>
      <w:r>
        <w:t xml:space="preserve"> </w:t>
      </w:r>
      <w:r>
        <w:t xml:space="preserve">“</w:t>
      </w:r>
      <w:r>
        <w:t xml:space="preserve">ReAct</w:t>
      </w:r>
      <w:r>
        <w:t xml:space="preserve">: Synergizing Reasoning and Acting in Language Models.”</w:t>
      </w:r>
      <w:r>
        <w:t xml:space="preserve"> </w:t>
      </w:r>
      <w:r>
        <w:rPr>
          <w:i/>
          <w:iCs/>
        </w:rPr>
        <w:t xml:space="preserve">International Conference on Learning Representations</w:t>
      </w:r>
      <w:r>
        <w:t xml:space="preserve">, ahead of print.</w:t>
      </w:r>
      <w:r>
        <w:t xml:space="preserve"> </w:t>
      </w:r>
      <w:hyperlink r:id="rId74">
        <w:r>
          <w:rPr>
            <w:rStyle w:val="Hyperlink"/>
          </w:rPr>
          <w:t xml:space="preserve">https://doi.org/10.48550/arXiv.2210.03629</w:t>
        </w:r>
      </w:hyperlink>
      <w:r>
        <w:t xml:space="preserve">.</w:t>
      </w:r>
    </w:p>
    <w:bookmarkEnd w:id="75"/>
    <w:bookmarkStart w:id="77" w:name="ref-zhang2023patching"/>
    <w:p>
      <w:pPr>
        <w:pStyle w:val="Bibliography"/>
      </w:pPr>
      <w:r>
        <w:t xml:space="preserve">Zhang, Fred, and Neel Nanda. 2024.</w:t>
      </w:r>
      <w:r>
        <w:t xml:space="preserve"> </w:t>
      </w:r>
      <w:r>
        <w:t xml:space="preserve">“Towards Best Practices of Activation Patching in Language Models: Metrics and Methods.”</w:t>
      </w:r>
      <w:r>
        <w:t xml:space="preserve"> </w:t>
      </w:r>
      <w:r>
        <w:rPr>
          <w:i/>
          <w:iCs/>
        </w:rPr>
        <w:t xml:space="preserve">International Conference on Learning Representations</w:t>
      </w:r>
      <w:r>
        <w:t xml:space="preserve">, ahead of print.</w:t>
      </w:r>
      <w:r>
        <w:t xml:space="preserve"> </w:t>
      </w:r>
      <w:hyperlink r:id="rId76">
        <w:r>
          <w:rPr>
            <w:rStyle w:val="Hyperlink"/>
          </w:rPr>
          <w:t xml:space="preserve">https://doi.org/10.48550/arXiv.2309.16042</w:t>
        </w:r>
      </w:hyperlink>
      <w:r>
        <w:t xml:space="preserve">.</w:t>
      </w:r>
    </w:p>
    <w:bookmarkEnd w:id="77"/>
    <w:bookmarkEnd w:id="78"/>
    <w:bookmarkEnd w:id="7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0" Target="media/rId10.png" /><Relationship Type="http://schemas.openxmlformats.org/officeDocument/2006/relationships/image" Id="rId14" Target="media/rId14.png" /><Relationship Type="http://schemas.openxmlformats.org/officeDocument/2006/relationships/image" Id="rId18" Target="media/rId18.png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8" Target="media/rId48.png" /><Relationship Type="http://schemas.openxmlformats.org/officeDocument/2006/relationships/image" Id="rId34" Target="media/rId34.png" /><Relationship Type="http://schemas.openxmlformats.org/officeDocument/2006/relationships/hyperlink" Id="rId9" Target="https://alvaro-videla.com/llm-arithmetic-internals/article_interactive/" TargetMode="External" /><Relationship Type="http://schemas.openxmlformats.org/officeDocument/2006/relationships/hyperlink" Id="rId68" Target="https://doi.org/10.48550/arXiv.1904.01557" TargetMode="External" /><Relationship Type="http://schemas.openxmlformats.org/officeDocument/2006/relationships/hyperlink" Id="rId74" Target="https://doi.org/10.48550/arXiv.2210.03629" TargetMode="External" /><Relationship Type="http://schemas.openxmlformats.org/officeDocument/2006/relationships/hyperlink" Id="rId61" Target="https://doi.org/10.48550/arXiv.2211.10435" TargetMode="External" /><Relationship Type="http://schemas.openxmlformats.org/officeDocument/2006/relationships/hyperlink" Id="rId57" Target="https://doi.org/10.48550/arXiv.2211.12588" TargetMode="External" /><Relationship Type="http://schemas.openxmlformats.org/officeDocument/2006/relationships/hyperlink" Id="rId70" Target="https://doi.org/10.48550/arXiv.2302.04761" TargetMode="External" /><Relationship Type="http://schemas.openxmlformats.org/officeDocument/2006/relationships/hyperlink" Id="rId72" Target="https://doi.org/10.48550/arXiv.2305.15054" TargetMode="External" /><Relationship Type="http://schemas.openxmlformats.org/officeDocument/2006/relationships/hyperlink" Id="rId59" Target="https://doi.org/10.48550/arXiv.2309.08600" TargetMode="External" /><Relationship Type="http://schemas.openxmlformats.org/officeDocument/2006/relationships/hyperlink" Id="rId76" Target="https://doi.org/10.48550/arXiv.2309.16042" TargetMode="External" /><Relationship Type="http://schemas.openxmlformats.org/officeDocument/2006/relationships/hyperlink" Id="rId66" Target="https://doi.org/10.48550/arXiv.2410.21272" TargetMode="External" /><Relationship Type="http://schemas.openxmlformats.org/officeDocument/2006/relationships/hyperlink" Id="rId63" Target="https://doi.org/10.48550/arXiv.2502.00873" TargetMode="External" /><Relationship Type="http://schemas.openxmlformats.org/officeDocument/2006/relationships/hyperlink" Id="rId55" Target="https://transformer-circuits.pub/2023/monosemantic-features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9" Target="https://alvaro-videla.com/llm-arithmetic-internals/article_interactive/" TargetMode="External" /><Relationship Type="http://schemas.openxmlformats.org/officeDocument/2006/relationships/hyperlink" Id="rId68" Target="https://doi.org/10.48550/arXiv.1904.01557" TargetMode="External" /><Relationship Type="http://schemas.openxmlformats.org/officeDocument/2006/relationships/hyperlink" Id="rId74" Target="https://doi.org/10.48550/arXiv.2210.03629" TargetMode="External" /><Relationship Type="http://schemas.openxmlformats.org/officeDocument/2006/relationships/hyperlink" Id="rId61" Target="https://doi.org/10.48550/arXiv.2211.10435" TargetMode="External" /><Relationship Type="http://schemas.openxmlformats.org/officeDocument/2006/relationships/hyperlink" Id="rId57" Target="https://doi.org/10.48550/arXiv.2211.12588" TargetMode="External" /><Relationship Type="http://schemas.openxmlformats.org/officeDocument/2006/relationships/hyperlink" Id="rId70" Target="https://doi.org/10.48550/arXiv.2302.04761" TargetMode="External" /><Relationship Type="http://schemas.openxmlformats.org/officeDocument/2006/relationships/hyperlink" Id="rId72" Target="https://doi.org/10.48550/arXiv.2305.15054" TargetMode="External" /><Relationship Type="http://schemas.openxmlformats.org/officeDocument/2006/relationships/hyperlink" Id="rId59" Target="https://doi.org/10.48550/arXiv.2309.08600" TargetMode="External" /><Relationship Type="http://schemas.openxmlformats.org/officeDocument/2006/relationships/hyperlink" Id="rId76" Target="https://doi.org/10.48550/arXiv.2309.16042" TargetMode="External" /><Relationship Type="http://schemas.openxmlformats.org/officeDocument/2006/relationships/hyperlink" Id="rId66" Target="https://doi.org/10.48550/arXiv.2410.21272" TargetMode="External" /><Relationship Type="http://schemas.openxmlformats.org/officeDocument/2006/relationships/hyperlink" Id="rId63" Target="https://doi.org/10.48550/arXiv.2502.00873" TargetMode="External" /><Relationship Type="http://schemas.openxmlformats.org/officeDocument/2006/relationships/hyperlink" Id="rId55" Target="https://transformer-circuits.pub/2023/monosemantic-feature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Arithmetic Without Numbers (Draft)</dc:title>
  <dc:creator>Alvaro Videla</dc:creator>
  <cp:keywords/>
  <dcterms:created xsi:type="dcterms:W3CDTF">2026-06-22T00:21:12Z</dcterms:created>
  <dcterms:modified xsi:type="dcterms:W3CDTF">2026-06-22T00:21:12Z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/Users/alvarostudio/Code/rune/docs/article_latex/rune_matrix_arithmetic_article.bib</vt:lpwstr>
  </property>
  <property fmtid="{D5CDD505-2E9C-101B-9397-08002B2CF9AE}" pid="3" name="reference-section-title">
    <vt:lpwstr>References</vt:lpwstr>
  </property>
  <property fmtid="{D5CDD505-2E9C-101B-9397-08002B2CF9AE}" pid="4" name="subtitle">
    <vt:lpwstr>What happens inside an LLM when it tries to calculate with nothing but matrices</vt:lpwstr>
  </property>
</Properties>
</file>